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2" w:beforeAutospacing="0" w:after="120" w:afterAutospacing="0" w:line="432" w:lineRule="atLeast"/>
        <w:ind w:left="0" w:right="0" w:firstLine="0"/>
        <w:jc w:val="center"/>
        <w:rPr>
          <w:rFonts w:ascii="MicrosoftYaHei-Bold" w:hAnsi="MicrosoftYaHei-Bold" w:eastAsia="MicrosoftYaHei-Bold" w:cs="MicrosoftYaHei-Bold"/>
          <w:i w:val="0"/>
          <w:iCs w:val="0"/>
          <w:caps w:val="0"/>
          <w:color w:val="EA5404"/>
          <w:spacing w:val="0"/>
          <w:sz w:val="28"/>
          <w:szCs w:val="28"/>
        </w:rPr>
      </w:pPr>
      <w:r>
        <w:rPr>
          <w:rFonts w:hint="default" w:ascii="MicrosoftYaHei-Bold" w:hAnsi="MicrosoftYaHei-Bold" w:eastAsia="MicrosoftYaHei-Bold" w:cs="MicrosoftYaHei-Bold"/>
          <w:i w:val="0"/>
          <w:iCs w:val="0"/>
          <w:caps w:val="0"/>
          <w:color w:val="EA5404"/>
          <w:spacing w:val="0"/>
          <w:sz w:val="28"/>
          <w:szCs w:val="28"/>
          <w:bdr w:val="none" w:color="auto" w:sz="0" w:space="0"/>
        </w:rPr>
        <w:t>组织病理一站式解决方案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left"/>
        <w:rPr>
          <w:rFonts w:ascii="Arial" w:hAnsi="Arial" w:cs="Arial"/>
          <w:i w:val="0"/>
          <w:iCs w:val="0"/>
          <w:caps w:val="0"/>
          <w:color w:val="000000"/>
          <w:spacing w:val="0"/>
          <w:sz w:val="16"/>
          <w:szCs w:val="16"/>
        </w:rPr>
      </w:pPr>
      <w:r>
        <w:rPr>
          <w:rStyle w:val="6"/>
          <w:rFonts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病理学</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是研究人体疾病发生的原因、发生机制、发展规律以及疾病过程中机体的形态结构、功能代谢变化和病变转归的一门基础医学科学。在科学研究中，对病理的研究能够帮助分析和阐明。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① 病因学，即疾病发生的原因，包括内因、外因及其相互关系；</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② 发病学，即在病因作用下导致疾病发生、发展的具体环节、机制和过程；</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③ 病理变化或病变，即在疾病发生发展过程中，机体的功能代谢和形态结构变化以及这些变化与临床表现（症状和体征）之间的关系——临床病理联系；</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④ 疾病的转归和结局。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组织学</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观察是将病变组织制成厚约数微米的切片，经不同方法染色后用显微镜观察其细微病变，从而千百倍地提高了肉眼观察的分辨能力，加深了对疾病和病变的认识，是最常用的观察、研究疾病的手段之一。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对于组织病理的研究流程主要如下，今天的分析也将从以下几个步骤来阐述我们在组织病理研究过程中能为科学研究提供的帮助。</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drawing>
          <wp:inline distT="0" distB="0" distL="114300" distR="114300">
            <wp:extent cx="5280660" cy="2094865"/>
            <wp:effectExtent l="0" t="0" r="7620" b="825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80660" cy="20948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一、制片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Step1 新鲜组织的获取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获取组织时应注意：取材应尽量新鲜；动物组织可以灌流后取材；尽量避免损伤需要的部位；切取的组织块不宜太大（黄豆粒大小较为合适）。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Step2 样品前处理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default"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pPr>
      <w:r>
        <w:rPr>
          <w:rFonts w:hint="eastAsia" w:ascii="微软雅黑" w:hAnsi="微软雅黑" w:eastAsia="微软雅黑" w:cs="微软雅黑"/>
          <w:i w:val="0"/>
          <w:iCs w:val="0"/>
          <w:caps w:val="0"/>
          <w:color w:val="000000"/>
          <w:spacing w:val="0"/>
          <w:kern w:val="0"/>
          <w:sz w:val="16"/>
          <w:szCs w:val="16"/>
          <w:shd w:val="clear" w:fill="FFFFFF"/>
          <w:lang w:val="en-US" w:eastAsia="zh-CN" w:bidi="ar"/>
        </w:rPr>
        <w:t>根据实验需求选择石蜡切片/冰冻切片，再根据不同切片选择不同组织固定液。</w:t>
      </w:r>
      <w:r>
        <w:rPr>
          <w:rFonts w:hint="eastAsia" w:ascii="微软雅黑" w:hAnsi="微软雅黑" w:eastAsia="微软雅黑" w:cs="微软雅黑"/>
          <w:i w:val="0"/>
          <w:iCs w:val="0"/>
          <w:caps w:val="0"/>
          <w:color w:val="000000"/>
          <w:spacing w:val="0"/>
          <w:kern w:val="0"/>
          <w:sz w:val="16"/>
          <w:szCs w:val="16"/>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shd w:val="clear" w:fill="FFFFFF"/>
          <w:lang w:val="en-US" w:eastAsia="zh-CN" w:bidi="ar"/>
        </w:rPr>
        <w:t>4%多聚甲醛组织固定液在多种实验中都能够适用，是公认的适用性强、处理效果好的组织固定液。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drawing>
          <wp:inline distT="0" distB="0" distL="114300" distR="114300">
            <wp:extent cx="1976755" cy="1650365"/>
            <wp:effectExtent l="0" t="0" r="4445" b="1079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976755" cy="16503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4%多聚甲醛/通用型组织固定液</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货号：</w:t>
      </w:r>
      <w:r>
        <w:rPr>
          <w:rFonts w:hint="eastAsia" w:ascii="微软雅黑" w:hAnsi="微软雅黑" w:eastAsia="微软雅黑" w:cs="微软雅黑"/>
          <w:i w:val="0"/>
          <w:iCs w:val="0"/>
          <w:caps w:val="0"/>
          <w:color w:val="000000"/>
          <w:spacing w:val="0"/>
          <w:kern w:val="0"/>
          <w:sz w:val="16"/>
          <w:szCs w:val="16"/>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6"/>
          <w:szCs w:val="16"/>
          <w:u w:val="none"/>
          <w:bdr w:val="none" w:color="auto" w:sz="0" w:space="0"/>
          <w:shd w:val="clear" w:fill="FFFFFF"/>
          <w:lang w:val="en-US" w:eastAsia="zh-CN" w:bidi="ar"/>
        </w:rPr>
        <w:instrText xml:space="preserve"> HYPERLINK "https://www.absin.cn/paraformaldehyde/abs9179.html" </w:instrText>
      </w:r>
      <w:r>
        <w:rPr>
          <w:rFonts w:hint="eastAsia" w:ascii="微软雅黑" w:hAnsi="微软雅黑" w:eastAsia="微软雅黑" w:cs="微软雅黑"/>
          <w:i w:val="0"/>
          <w:iCs w:val="0"/>
          <w:caps w:val="0"/>
          <w:color w:val="000000"/>
          <w:spacing w:val="0"/>
          <w:kern w:val="0"/>
          <w:sz w:val="16"/>
          <w:szCs w:val="16"/>
          <w:u w:val="none"/>
          <w:bdr w:val="none" w:color="auto" w:sz="0" w:space="0"/>
          <w:shd w:val="clear" w:fill="FFFFFF"/>
          <w:lang w:val="en-US" w:eastAsia="zh-CN" w:bidi="ar"/>
        </w:rPr>
        <w:fldChar w:fldCharType="separate"/>
      </w:r>
      <w:r>
        <w:rPr>
          <w:rStyle w:val="7"/>
          <w:rFonts w:hint="eastAsia" w:ascii="微软雅黑" w:hAnsi="微软雅黑" w:eastAsia="微软雅黑" w:cs="微软雅黑"/>
          <w:i w:val="0"/>
          <w:iCs w:val="0"/>
          <w:caps w:val="0"/>
          <w:color w:val="000000"/>
          <w:spacing w:val="0"/>
          <w:sz w:val="16"/>
          <w:szCs w:val="16"/>
          <w:u w:val="none"/>
          <w:bdr w:val="none" w:color="auto" w:sz="0" w:space="0"/>
          <w:shd w:val="clear" w:fill="FFFFFF"/>
        </w:rPr>
        <w:t>abs9179</w:t>
      </w:r>
      <w:r>
        <w:rPr>
          <w:rFonts w:hint="eastAsia" w:ascii="微软雅黑" w:hAnsi="微软雅黑" w:eastAsia="微软雅黑" w:cs="微软雅黑"/>
          <w:i w:val="0"/>
          <w:iCs w:val="0"/>
          <w:caps w:val="0"/>
          <w:color w:val="000000"/>
          <w:spacing w:val="0"/>
          <w:kern w:val="0"/>
          <w:sz w:val="16"/>
          <w:szCs w:val="16"/>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Step3 组织包埋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根据实验需求，选择石蜡包埋或OCT包埋。</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1）包埋盒打号机能够帮助打印包埋盒标签，避免手动标记的繁琐步骤以及手动标记后标记被污染或不同人手写习惯不同导致的阅读偏差。</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2）组织包埋机能够帮助完成组织的石蜡包埋步骤，在组织梯度浸蜡和包埋过程中提供实验帮助，自带冷台能够快速降温使石蜡冷却定型。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drawing>
          <wp:inline distT="0" distB="0" distL="114300" distR="114300">
            <wp:extent cx="5225415" cy="2478405"/>
            <wp:effectExtent l="0" t="0" r="1905" b="571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25415" cy="24784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Step4 组织切片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石蜡切片厚度一般为3-5μm，冰冻切片厚度一般为10μm。制作石蜡切片时，除了切片，还有摊片和烤片等步骤。</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轮转式石蜡切片机能够帮助组织切片过程。在石蜡组织切片后，还需要进行展片和烤片等步骤，摊片机能够帮助展片，在将蜡片捞上来后，烤片机能够使多余的水分蒸发，蜡片更紧密地贴合在载玻片上。</w:t>
      </w:r>
    </w:p>
    <w:tbl>
      <w:tblPr>
        <w:tblW w:w="110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4224"/>
        <w:gridCol w:w="2808"/>
        <w:gridCol w:w="4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jc w:val="center"/>
        </w:trPr>
        <w:tc>
          <w:tcPr>
            <w:tcW w:w="3680" w:type="dxa"/>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kern w:val="0"/>
                <w:sz w:val="24"/>
                <w:szCs w:val="24"/>
                <w:bdr w:val="none" w:color="auto" w:sz="0" w:space="0"/>
                <w:lang w:val="en-US" w:eastAsia="zh-CN" w:bidi="ar"/>
              </w:rPr>
              <w:drawing>
                <wp:inline distT="0" distB="0" distL="114300" distR="114300">
                  <wp:extent cx="2672080" cy="2705735"/>
                  <wp:effectExtent l="0" t="0" r="10160" b="698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2672080" cy="2705735"/>
                          </a:xfrm>
                          <a:prstGeom prst="rect">
                            <a:avLst/>
                          </a:prstGeom>
                          <a:noFill/>
                          <a:ln w="9525">
                            <a:noFill/>
                          </a:ln>
                        </pic:spPr>
                      </pic:pic>
                    </a:graphicData>
                  </a:graphic>
                </wp:inline>
              </w:drawing>
            </w:r>
          </w:p>
        </w:tc>
        <w:tc>
          <w:tcPr>
            <w:tcW w:w="3680" w:type="dxa"/>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w:t>
            </w:r>
          </w:p>
        </w:tc>
        <w:tc>
          <w:tcPr>
            <w:tcW w:w="3680" w:type="dxa"/>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kern w:val="0"/>
                <w:sz w:val="24"/>
                <w:szCs w:val="24"/>
                <w:bdr w:val="none" w:color="auto" w:sz="0" w:space="0"/>
                <w:lang w:val="en-US" w:eastAsia="zh-CN" w:bidi="ar"/>
              </w:rPr>
              <w:drawing>
                <wp:inline distT="0" distB="0" distL="114300" distR="114300">
                  <wp:extent cx="2538730" cy="2630805"/>
                  <wp:effectExtent l="0" t="0" r="6350" b="571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2538730" cy="26308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680" w:type="dxa"/>
            <w:shd w:val="clear"/>
            <w:tcMar>
              <w:top w:w="0" w:type="dxa"/>
              <w:left w:w="0" w:type="dxa"/>
              <w:bottom w:w="0" w:type="dxa"/>
              <w:right w:w="0" w:type="dxa"/>
            </w:tcMar>
            <w:vAlign w:val="center"/>
          </w:tcPr>
          <w:p>
            <w:pPr>
              <w:keepNext w:val="0"/>
              <w:keepLines w:val="0"/>
              <w:widowControl/>
              <w:suppressLineNumbers w:val="0"/>
              <w:jc w:val="left"/>
              <w:rPr>
                <w:rFonts w:ascii="宋体" w:hAnsi="宋体" w:eastAsia="宋体" w:cs="宋体"/>
                <w:i w:val="0"/>
                <w:iCs w:val="0"/>
                <w:kern w:val="0"/>
                <w:sz w:val="24"/>
                <w:szCs w:val="24"/>
                <w:bdr w:val="none" w:color="auto" w:sz="0" w:space="0"/>
                <w:lang w:val="en-US" w:eastAsia="zh-CN" w:bidi="ar"/>
              </w:rPr>
            </w:pPr>
          </w:p>
        </w:tc>
        <w:tc>
          <w:tcPr>
            <w:tcW w:w="3680" w:type="dxa"/>
            <w:shd w:val="clear"/>
            <w:tcMar>
              <w:top w:w="0" w:type="dxa"/>
              <w:left w:w="0" w:type="dxa"/>
              <w:bottom w:w="0" w:type="dxa"/>
              <w:right w:w="0" w:type="dxa"/>
            </w:tcMar>
            <w:vAlign w:val="center"/>
          </w:tcPr>
          <w:p>
            <w:pPr>
              <w:keepNext w:val="0"/>
              <w:keepLines w:val="0"/>
              <w:widowControl/>
              <w:suppressLineNumbers w:val="0"/>
              <w:jc w:val="left"/>
              <w:rPr>
                <w:rFonts w:ascii="宋体" w:hAnsi="宋体" w:eastAsia="宋体" w:cs="宋体"/>
                <w:kern w:val="0"/>
                <w:sz w:val="24"/>
                <w:szCs w:val="24"/>
                <w:bdr w:val="none" w:color="auto" w:sz="0" w:space="0"/>
                <w:lang w:val="en-US" w:eastAsia="zh-CN" w:bidi="ar"/>
              </w:rPr>
            </w:pPr>
          </w:p>
        </w:tc>
        <w:tc>
          <w:tcPr>
            <w:tcW w:w="3680" w:type="dxa"/>
            <w:shd w:val="clear"/>
            <w:tcMar>
              <w:top w:w="0" w:type="dxa"/>
              <w:left w:w="0" w:type="dxa"/>
              <w:bottom w:w="0" w:type="dxa"/>
              <w:right w:w="0" w:type="dxa"/>
            </w:tcMar>
            <w:vAlign w:val="center"/>
          </w:tcPr>
          <w:p>
            <w:pPr>
              <w:keepNext w:val="0"/>
              <w:keepLines w:val="0"/>
              <w:widowControl/>
              <w:suppressLineNumbers w:val="0"/>
              <w:jc w:val="left"/>
              <w:rPr>
                <w:rFonts w:ascii="宋体" w:hAnsi="宋体" w:eastAsia="宋体" w:cs="宋体"/>
                <w:i w:val="0"/>
                <w:iCs w:val="0"/>
                <w:kern w:val="0"/>
                <w:sz w:val="24"/>
                <w:szCs w:val="24"/>
                <w:bdr w:val="none" w:color="auto" w:sz="0" w:space="0"/>
                <w:lang w:val="en-US" w:eastAsia="zh-CN" w:bidi="ar"/>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二、染色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根据不同的实验需求，选择不同的染色方式，常见的染色方式有H&amp;E、IHC、IF等。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爱必信（Absin），能够提供免疫组化/免疫荧光的全套解决方案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对于有特殊实验需求的客户，还有多重荧光免疫组化试剂盒，能够满足多指标的染色需求。多重荧光免疫组化试剂盒提供从4色到7色的解决方案，爱必信也为有需要的客户提供多色的实验服务。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drawing>
          <wp:inline distT="0" distB="0" distL="114300" distR="114300">
            <wp:extent cx="2114550" cy="1628775"/>
            <wp:effectExtent l="0" t="0" r="3810" b="190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2114550" cy="1628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苏木素-伊红（HE）染色试剂盒</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货号：</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instrText xml:space="preserve"> HYPERLINK "https://www.absin.cn/heart-hematoxylin/abs9217.html" </w:instrTex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separate"/>
      </w:r>
      <w:r>
        <w:rPr>
          <w:rStyle w:val="7"/>
          <w:rFonts w:hint="eastAsia" w:ascii="微软雅黑" w:hAnsi="微软雅黑" w:eastAsia="微软雅黑" w:cs="微软雅黑"/>
          <w:i w:val="0"/>
          <w:iCs w:val="0"/>
          <w:caps w:val="0"/>
          <w:color w:val="1624FB"/>
          <w:spacing w:val="0"/>
          <w:sz w:val="16"/>
          <w:szCs w:val="16"/>
          <w:u w:val="none"/>
          <w:bdr w:val="none" w:color="auto" w:sz="0" w:space="0"/>
          <w:shd w:val="clear" w:fill="FFFFFF"/>
        </w:rPr>
        <w:t>abs9217</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drawing>
          <wp:inline distT="0" distB="0" distL="114300" distR="114300">
            <wp:extent cx="2209800" cy="1552575"/>
            <wp:effectExtent l="0" t="0" r="0" b="190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2209800" cy="1552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即用型高效免疫组化二抗试剂盒</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货号：</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instrText xml:space="preserve"> HYPERLINK "https://www.absin.cn/ready-to-use-hp-ihc-detection-kit/abs957.html" </w:instrTex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separate"/>
      </w:r>
      <w:r>
        <w:rPr>
          <w:rStyle w:val="7"/>
          <w:rFonts w:hint="eastAsia" w:ascii="微软雅黑" w:hAnsi="微软雅黑" w:eastAsia="微软雅黑" w:cs="微软雅黑"/>
          <w:i w:val="0"/>
          <w:iCs w:val="0"/>
          <w:caps w:val="0"/>
          <w:color w:val="1624FB"/>
          <w:spacing w:val="0"/>
          <w:sz w:val="16"/>
          <w:szCs w:val="16"/>
          <w:u w:val="none"/>
          <w:bdr w:val="none" w:color="auto" w:sz="0" w:space="0"/>
          <w:shd w:val="clear" w:fill="FFFFFF"/>
        </w:rPr>
        <w:t>abs957</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end"/>
      </w:r>
    </w:p>
    <w:p>
      <w:pPr>
        <w:keepNext w:val="0"/>
        <w:keepLines w:val="0"/>
        <w:widowControl/>
        <w:suppressLineNumbers w:val="0"/>
        <w:spacing w:before="0" w:beforeAutospacing="0" w:after="0" w:afterAutospacing="0"/>
        <w:ind w:left="0" w:right="0"/>
        <w:jc w:val="cente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drawing>
          <wp:inline distT="0" distB="0" distL="114300" distR="114300">
            <wp:extent cx="4000500" cy="2962275"/>
            <wp:effectExtent l="0" t="0" r="7620" b="952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4000500" cy="2962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五色荧光组化染色试剂盒（鼠兔通用二抗）</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货号：</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instrText xml:space="preserve"> HYPERLINK "https://www.absin.cn/five-color-multi-label-immunofluorescence-kit/abs50013.html" </w:instrTex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separate"/>
      </w:r>
      <w:r>
        <w:rPr>
          <w:rStyle w:val="7"/>
          <w:rFonts w:hint="eastAsia" w:ascii="微软雅黑" w:hAnsi="微软雅黑" w:eastAsia="微软雅黑" w:cs="微软雅黑"/>
          <w:i w:val="0"/>
          <w:iCs w:val="0"/>
          <w:caps w:val="0"/>
          <w:color w:val="1624FB"/>
          <w:spacing w:val="0"/>
          <w:sz w:val="16"/>
          <w:szCs w:val="16"/>
          <w:u w:val="none"/>
          <w:bdr w:val="none" w:color="auto" w:sz="0" w:space="0"/>
          <w:shd w:val="clear" w:fill="FFFFFF"/>
        </w:rPr>
        <w:t>abs50013</w:t>
      </w:r>
      <w:r>
        <w:rPr>
          <w:rFonts w:hint="eastAsia" w:ascii="微软雅黑" w:hAnsi="微软雅黑" w:eastAsia="微软雅黑" w:cs="微软雅黑"/>
          <w:i w:val="0"/>
          <w:iCs w:val="0"/>
          <w:caps w:val="0"/>
          <w:color w:val="1624FB"/>
          <w:spacing w:val="0"/>
          <w:kern w:val="0"/>
          <w:sz w:val="16"/>
          <w:szCs w:val="16"/>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Absin 免疫组化全流程产品概览</w:t>
      </w: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000000"/>
          <w:spacing w:val="0"/>
          <w:kern w:val="0"/>
          <w:sz w:val="16"/>
          <w:szCs w:val="16"/>
          <w:bdr w:val="none" w:color="auto" w:sz="0" w:space="0"/>
          <w:shd w:val="clear" w:fill="FFFFFF"/>
          <w:lang w:val="en-US" w:eastAsia="zh-CN" w:bidi="ar"/>
        </w:rPr>
        <w:t>IHC全套解决方案</w:t>
      </w:r>
    </w:p>
    <w:tbl>
      <w:tblPr>
        <w:tblW w:w="831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417"/>
        <w:gridCol w:w="1519"/>
        <w:gridCol w:w="3595"/>
        <w:gridCol w:w="17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Style w:val="6"/>
                <w:rFonts w:ascii="宋体" w:hAnsi="宋体" w:eastAsia="宋体" w:cs="宋体"/>
                <w:b/>
                <w:bCs/>
                <w:i w:val="0"/>
                <w:iCs w:val="0"/>
                <w:kern w:val="0"/>
                <w:sz w:val="24"/>
                <w:szCs w:val="24"/>
                <w:bdr w:val="none" w:color="auto" w:sz="0" w:space="0"/>
                <w:lang w:val="en-US" w:eastAsia="zh-CN" w:bidi="ar"/>
              </w:rPr>
              <w:t>分类</w:t>
            </w:r>
          </w:p>
        </w:tc>
        <w:tc>
          <w:tcPr>
            <w:tcW w:w="1519"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Style w:val="6"/>
                <w:rFonts w:ascii="宋体" w:hAnsi="宋体" w:eastAsia="宋体" w:cs="宋体"/>
                <w:b/>
                <w:bCs/>
                <w:i w:val="0"/>
                <w:iCs w:val="0"/>
                <w:kern w:val="0"/>
                <w:sz w:val="24"/>
                <w:szCs w:val="24"/>
                <w:bdr w:val="none" w:color="auto" w:sz="0" w:space="0"/>
                <w:lang w:val="en-US" w:eastAsia="zh-CN" w:bidi="ar"/>
              </w:rPr>
              <w:t>货号</w:t>
            </w:r>
          </w:p>
        </w:tc>
        <w:tc>
          <w:tcPr>
            <w:tcW w:w="3595"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Style w:val="6"/>
                <w:rFonts w:ascii="宋体" w:hAnsi="宋体" w:eastAsia="宋体" w:cs="宋体"/>
                <w:b/>
                <w:bCs/>
                <w:i w:val="0"/>
                <w:iCs w:val="0"/>
                <w:kern w:val="0"/>
                <w:sz w:val="24"/>
                <w:szCs w:val="24"/>
                <w:bdr w:val="none" w:color="auto" w:sz="0" w:space="0"/>
                <w:lang w:val="en-US" w:eastAsia="zh-CN" w:bidi="ar"/>
              </w:rPr>
              <w:t>产品名称</w:t>
            </w:r>
          </w:p>
        </w:tc>
        <w:tc>
          <w:tcPr>
            <w:tcW w:w="1786"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Style w:val="6"/>
                <w:rFonts w:ascii="宋体" w:hAnsi="宋体" w:eastAsia="宋体" w:cs="宋体"/>
                <w:b/>
                <w:bCs/>
                <w:i w:val="0"/>
                <w:iCs w:val="0"/>
                <w:kern w:val="0"/>
                <w:sz w:val="24"/>
                <w:szCs w:val="24"/>
                <w:bdr w:val="none" w:color="auto" w:sz="0" w:space="0"/>
                <w:lang w:val="en-US" w:eastAsia="zh-CN" w:bidi="ar"/>
              </w:rPr>
              <w:t>规格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固定</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"https://www.absin.cn/paraformaldehyde/abs9179.html"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abs9179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4%多聚甲醛/通用型组织固定液</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抗原修复（石蜡一定要做，冰冻和爬片可不做）</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"https://www.absin.cn/citrate-edta-antigen-retrieval-solution/abs9249.html"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柠檬酸钠-EDTA抗原修复液(40×) </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"https://www.absin.cn/quick-antigen-retrieval-solution-forfrozen-sections/abs9207.html"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abs9207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冰冻切片快速抗原修复液(5×) </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"https://www.absin.cn/antigen-retrieval-solution/abs9208.html"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abs9208</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细胞爬片抗原修复液（1X） </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"https://www.absin.cn/edta/abs9247.html"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EDTA抗原修复液(50×)</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"https://www.absin.cn/tris-edta/abs9342.html"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abs9342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Tris-EDTA抗原修复液(10×,pH9.0)</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"https://www.absin.cn/citrate-antigen-retrieval-solution/abs9248.html"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abs9248</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柠檬酸钠抗原修复液(50×)</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"https://www.absin.cn/pepsin-antigen-repair-solution/abs9336.html"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abs9336</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胃蛋白酶抗原修复液</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细胞通透（胞浆胞核指标需要）</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"https://www.absin.cn/triton-x-100/abs9149.html"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abs9149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Triton X-100/曲拉通X-100</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淬灭</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(灭活内源性过氧化物酶和生物素)</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"https://www.absin.cn/peroxidase-blocking-solution-h2o2/abs9333.html"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abs9333</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过氧化物酶封闭液(H2O2法)</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"https://www.absin.cn/peroxidase-blocking-solution-h2o2/abs9333.html"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abs9152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吐温-20</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500ml/2.5L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封闭（二抗同来源血清）</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"https://www.absin.cn/goat-serum/abs933.html"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abs933</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Goat serum</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10ml/50ml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"https://www.absin.cn/the-ass-donkey-serum/abs935.html"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abs935</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驴血清</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"https://www.absin.cn/bovine-serum-albumin-bsa/abs9157.html"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abs9157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牛血清白蛋白 (BSA)</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一抗</w:t>
            </w:r>
          </w:p>
        </w:tc>
        <w:tc>
          <w:tcPr>
            <w:tcW w:w="6900" w:type="dxa"/>
            <w:gridSpan w:val="3"/>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多指标IHC专用一抗（CD3、CD8、CD4、FOXP3、KI-67......）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000000"/>
                <w:kern w:val="0"/>
                <w:sz w:val="24"/>
                <w:szCs w:val="24"/>
                <w:u w:val="none"/>
                <w:bdr w:val="none" w:color="auto" w:sz="0" w:space="0"/>
                <w:lang w:val="en-US" w:eastAsia="zh-CN" w:bidi="ar"/>
              </w:rPr>
              <w:fldChar w:fldCharType="begin"/>
            </w:r>
            <w:r>
              <w:rPr>
                <w:rFonts w:ascii="宋体" w:hAnsi="宋体" w:eastAsia="宋体" w:cs="宋体"/>
                <w:i w:val="0"/>
                <w:iCs w:val="0"/>
                <w:color w:val="000000"/>
                <w:kern w:val="0"/>
                <w:sz w:val="24"/>
                <w:szCs w:val="24"/>
                <w:u w:val="none"/>
                <w:bdr w:val="none" w:color="auto" w:sz="0" w:space="0"/>
                <w:lang w:val="en-US" w:eastAsia="zh-CN" w:bidi="ar"/>
              </w:rPr>
              <w:instrText xml:space="preserve"> HYPERLINK "https://www.absin.cn/dilution-buffer-of-primary-secondary-antibody/abs9299.html" </w:instrText>
            </w:r>
            <w:r>
              <w:rPr>
                <w:rFonts w:ascii="宋体" w:hAnsi="宋体" w:eastAsia="宋体" w:cs="宋体"/>
                <w:i w:val="0"/>
                <w:iCs w:val="0"/>
                <w:color w:val="000000"/>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abs9299</w:t>
            </w:r>
            <w:r>
              <w:rPr>
                <w:rFonts w:ascii="宋体" w:hAnsi="宋体" w:eastAsia="宋体" w:cs="宋体"/>
                <w:i w:val="0"/>
                <w:iCs w:val="0"/>
                <w:color w:val="000000"/>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一抗二抗稀释液</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100ml/1L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二抗</w:t>
            </w:r>
          </w:p>
        </w:tc>
        <w:tc>
          <w:tcPr>
            <w:tcW w:w="6900" w:type="dxa"/>
            <w:gridSpan w:val="3"/>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即用型二抗试剂盒（abs957、abs996、abs997、abs998）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6900" w:type="dxa"/>
            <w:gridSpan w:val="3"/>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HRP二抗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显色液</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"https://www.absin.cn/dab-peroxidase-substrate-kit/abs9210.html"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abs9210</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DAB 显色试剂盒（棕黄色，IHC）</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1kit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"https://www.absin.cn/dab-peroxidase-substrate-kit/abs9211.html"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abs9211</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DAB 显色试剂盒(蓝紫色,IHC)</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1kit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复染（可选）</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"https://www.absin.cn/modified-hematoxylin-solution-mayers/abs9214.html"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abs9214</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改良型Mayer's苏木素染液</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封片（DAB显色）</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"https://www.absin.cn/neutral-balsam-mounting-medium-for-microscopy/abs9177.html"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abs9177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中性树胶（镜检用永久封片剂）</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trHeight w:val="264" w:hRule="atLeast"/>
          <w:jc w:val="center"/>
        </w:trPr>
        <w:tc>
          <w:tcPr>
            <w:tcW w:w="1417"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缓冲液</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"https://www.absin.cn/pbs-buffer/abs962.html"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abs962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1×PBS缓冲液</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500ml/500ml*10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"https://www.absin.cn/tbst/abs952.html"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abs952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10*TBST </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100ml/1L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4" w:hRule="atLeast"/>
          <w:jc w:val="center"/>
        </w:trPr>
        <w:tc>
          <w:tcPr>
            <w:tcW w:w="1417"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"https://www.absin.cn/pbst/abs9340.html"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abs9340</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PBST(1×,pH7.4)</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4" w:hRule="atLeast"/>
          <w:jc w:val="center"/>
        </w:trPr>
        <w:tc>
          <w:tcPr>
            <w:tcW w:w="1417"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组化笔</w:t>
            </w:r>
          </w:p>
        </w:tc>
        <w:tc>
          <w:tcPr>
            <w:tcW w:w="1519"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"https://www.absin.cn/pap-pen/abs929.html"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59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PAP Pen 组化笔</w:t>
            </w:r>
          </w:p>
        </w:tc>
        <w:tc>
          <w:tcPr>
            <w:tcW w:w="178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1支</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default" w:ascii="Arial" w:hAnsi="Arial" w:eastAsia="宋体" w:cs="Arial"/>
          <w:b/>
          <w:bCs/>
          <w:i w:val="0"/>
          <w:iCs w:val="0"/>
          <w:caps w:val="0"/>
          <w:color w:val="000000"/>
          <w:spacing w:val="0"/>
          <w:kern w:val="0"/>
          <w:sz w:val="16"/>
          <w:szCs w:val="16"/>
          <w:bdr w:val="none" w:color="auto" w:sz="0" w:space="0"/>
          <w:shd w:val="clear" w:fill="FFFFFF"/>
          <w:lang w:val="en-US" w:eastAsia="zh-CN" w:bidi="ar"/>
        </w:rPr>
        <w:t>全套IF</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p>
    <w:tbl>
      <w:tblPr>
        <w:tblW w:w="843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436"/>
        <w:gridCol w:w="1062"/>
        <w:gridCol w:w="3833"/>
        <w:gridCol w:w="21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分类</w:t>
            </w:r>
          </w:p>
        </w:tc>
        <w:tc>
          <w:tcPr>
            <w:tcW w:w="1062"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货号</w:t>
            </w:r>
          </w:p>
        </w:tc>
        <w:tc>
          <w:tcPr>
            <w:tcW w:w="3833"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产品名称</w:t>
            </w:r>
          </w:p>
        </w:tc>
        <w:tc>
          <w:tcPr>
            <w:tcW w:w="2105" w:type="dxa"/>
            <w:tcBorders>
              <w:top w:val="outset" w:color="auto" w:sz="6" w:space="0"/>
              <w:left w:val="outset" w:color="auto" w:sz="6" w:space="0"/>
              <w:bottom w:val="outset" w:color="auto" w:sz="6" w:space="0"/>
              <w:right w:val="outset" w:color="auto" w:sz="6" w:space="0"/>
            </w:tcBorders>
            <w:shd w:val="clear" w:color="auto" w:fill="C2E0F4"/>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规格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固定</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"https://www.absin.cn/paraformaldehyde/abs9179.html"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abs9179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4%多聚甲醛/通用型组织固定液</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抗原修复（石蜡一定要做，冰冻和爬片可不做）</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"https://www.absin.cn/citrate-edta-antigen-retrieval-solution/abs9249.html"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柠檬酸钠-EDTA抗原修复液(40×) </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"https://www.absin.cn/quick-antigen-retrieval-solution-forfrozen-sections/abs9207.html"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abs9207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冰冻切片快速抗原修复液(5×) </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"https://www.absin.cn/antigen-retrieval-solution/abs9208.html"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abs9208</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细胞爬片抗原修复液（1X） </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"https://www.absin.cn/edta/abs9247.html"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abs9247</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EDTA抗原修复液(50×)</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"https://www.absin.cn/tris-edta/abs9342.html"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abs9342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Tris-EDTA抗原修复液(10×,pH9.0)</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"https://www.absin.cn/citrate-antigen-retrieval-solution/abs9248.html"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abs9248</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柠檬酸钠抗原修复液(50×)</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"https://www.absin.cn/pepsin-antigen-repair-solution/abs9336.html"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abs9336</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胃蛋白酶抗原修复液</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细胞通透（胞浆胞核指标需要）</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"https://www.absin.cn/triton-x-100/abs9149.html"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abs9149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Triton X-100/曲拉通X-100</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100ml/500ml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封闭（二抗同来源血清）</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"https://www.absin.cn/goat-serum/abs933.html"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abs933</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Goat serum</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一抗</w:t>
            </w:r>
          </w:p>
        </w:tc>
        <w:tc>
          <w:tcPr>
            <w:tcW w:w="7000" w:type="dxa"/>
            <w:gridSpan w:val="3"/>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多指标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"https://www.absin.cn/dilution-buffer-of-primary-secondary-antibody/abs9299.html"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abs9299</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一抗二抗稀释液</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100ml/1L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荧光二抗</w:t>
            </w:r>
          </w:p>
        </w:tc>
        <w:tc>
          <w:tcPr>
            <w:tcW w:w="7000" w:type="dxa"/>
            <w:gridSpan w:val="3"/>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多种荧光素标记二抗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436"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封片</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"https://www.absin.cn/antifade-mounting-medium/abs9235.html"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abs9235</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抗荧光淬灭封片液（含DAPI）</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5ml/25ml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436" w:type="dxa"/>
            <w:vMerge w:val="restart"/>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缓冲液</w:t>
            </w: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"https://www.absin.cn/pbs-buffer/abs962.html"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abs962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1×PBS缓冲液</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500ml/500ml*10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"https://www.absin.cn/tbst/abs952.html"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abs952</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10*TBST </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100ml/1L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rPr>
          <w:jc w:val="center"/>
        </w:trPr>
        <w:tc>
          <w:tcPr>
            <w:tcW w:w="1436" w:type="dxa"/>
            <w:vMerge w:val="continue"/>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rPr>
                <w:rFonts w:hint="eastAsia" w:ascii="宋体"/>
                <w:sz w:val="24"/>
                <w:szCs w:val="24"/>
              </w:rPr>
            </w:pPr>
          </w:p>
        </w:tc>
        <w:tc>
          <w:tcPr>
            <w:tcW w:w="1062"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i w:val="0"/>
                <w:iCs w:val="0"/>
                <w:color w:val="1624FB"/>
                <w:kern w:val="0"/>
                <w:sz w:val="24"/>
                <w:szCs w:val="24"/>
                <w:u w:val="none"/>
                <w:bdr w:val="none" w:color="auto" w:sz="0" w:space="0"/>
                <w:lang w:val="en-US" w:eastAsia="zh-CN" w:bidi="ar"/>
              </w:rPr>
              <w:fldChar w:fldCharType="begin"/>
            </w:r>
            <w:r>
              <w:rPr>
                <w:rFonts w:ascii="宋体" w:hAnsi="宋体" w:eastAsia="宋体" w:cs="宋体"/>
                <w:i w:val="0"/>
                <w:iCs w:val="0"/>
                <w:color w:val="1624FB"/>
                <w:kern w:val="0"/>
                <w:sz w:val="24"/>
                <w:szCs w:val="24"/>
                <w:u w:val="none"/>
                <w:bdr w:val="none" w:color="auto" w:sz="0" w:space="0"/>
                <w:lang w:val="en-US" w:eastAsia="zh-CN" w:bidi="ar"/>
              </w:rPr>
              <w:instrText xml:space="preserve"> HYPERLINK "https://www.absin.cn/pbst/abs9340.html" </w:instrText>
            </w:r>
            <w:r>
              <w:rPr>
                <w:rFonts w:ascii="宋体" w:hAnsi="宋体" w:eastAsia="宋体" w:cs="宋体"/>
                <w:i w:val="0"/>
                <w:iCs w:val="0"/>
                <w:color w:val="1624FB"/>
                <w:kern w:val="0"/>
                <w:sz w:val="24"/>
                <w:szCs w:val="24"/>
                <w:u w:val="none"/>
                <w:bdr w:val="none" w:color="auto" w:sz="0" w:space="0"/>
                <w:lang w:val="en-US" w:eastAsia="zh-CN" w:bidi="ar"/>
              </w:rPr>
              <w:fldChar w:fldCharType="separate"/>
            </w:r>
            <w:r>
              <w:rPr>
                <w:rStyle w:val="7"/>
                <w:rFonts w:ascii="宋体" w:hAnsi="宋体" w:eastAsia="宋体" w:cs="宋体"/>
                <w:i w:val="0"/>
                <w:iCs w:val="0"/>
                <w:color w:val="1624FB"/>
                <w:sz w:val="24"/>
                <w:szCs w:val="24"/>
                <w:u w:val="none"/>
                <w:bdr w:val="none" w:color="auto" w:sz="0" w:space="0"/>
              </w:rPr>
              <w:t>abs9340</w:t>
            </w:r>
            <w:r>
              <w:rPr>
                <w:rFonts w:ascii="宋体" w:hAnsi="宋体" w:eastAsia="宋体" w:cs="宋体"/>
                <w:i w:val="0"/>
                <w:iCs w:val="0"/>
                <w:color w:val="1624FB"/>
                <w:kern w:val="0"/>
                <w:sz w:val="24"/>
                <w:szCs w:val="24"/>
                <w:u w:val="none"/>
                <w:bdr w:val="none" w:color="auto" w:sz="0" w:space="0"/>
                <w:lang w:val="en-US" w:eastAsia="zh-CN" w:bidi="ar"/>
              </w:rPr>
              <w:fldChar w:fldCharType="end"/>
            </w:r>
          </w:p>
        </w:tc>
        <w:tc>
          <w:tcPr>
            <w:tcW w:w="3833"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PBST(1×,pH7.4)</w:t>
            </w:r>
          </w:p>
        </w:tc>
        <w:tc>
          <w:tcPr>
            <w:tcW w:w="2105" w:type="dxa"/>
            <w:tcBorders>
              <w:top w:val="outset" w:color="auto" w:sz="6" w:space="0"/>
              <w:left w:val="outset" w:color="auto" w:sz="6" w:space="0"/>
              <w:bottom w:val="outset" w:color="auto" w:sz="6" w:space="0"/>
              <w:right w:val="outset" w:color="auto" w:sz="6" w:space="0"/>
            </w:tcBorders>
            <w:shd w:val="clear"/>
            <w:tcMar>
              <w:top w:w="0" w:type="dxa"/>
              <w:left w:w="0" w:type="dxa"/>
              <w:bottom w:w="0" w:type="dxa"/>
              <w:right w:w="0" w:type="dxa"/>
            </w:tcMar>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500ml</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三、成像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主流的成像设备分为两种，显微镜和扫描仪，各方面的性能对比表如下</w:t>
      </w:r>
    </w:p>
    <w:p>
      <w:pPr>
        <w:keepNext w:val="0"/>
        <w:keepLines w:val="0"/>
        <w:widowControl/>
        <w:suppressLineNumbers w:val="0"/>
        <w:spacing w:before="0" w:beforeAutospacing="0" w:after="0" w:afterAutospacing="0"/>
        <w:ind w:left="0" w:right="0"/>
        <w:jc w:val="left"/>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drawing>
          <wp:inline distT="0" distB="0" distL="114300" distR="114300">
            <wp:extent cx="5260975" cy="3207385"/>
            <wp:effectExtent l="0" t="0" r="12065" b="825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260975" cy="32073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由此可知，在病理实验进程中，扫描仪能够为实验提供更大的帮助，同时扫描多张切片，连续缩放浏览，也可以通过电子文档的方式将玻片储存在病理切片库中，利于随时浏览分析。优宁维科学仪器事业部为您推荐江丰扫描仪，为病理切片成像提供良好的支持和帮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drawing>
          <wp:inline distT="0" distB="0" distL="114300" distR="114300">
            <wp:extent cx="4321175" cy="2482215"/>
            <wp:effectExtent l="0" t="0" r="6985" b="19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321175" cy="24822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cs="Arial"/>
          <w:i w:val="0"/>
          <w:iCs w:val="0"/>
          <w:caps w:val="0"/>
          <w:color w:val="000000"/>
          <w:spacing w:val="0"/>
          <w:sz w:val="16"/>
          <w:szCs w:val="16"/>
        </w:rPr>
      </w:pPr>
      <w:r>
        <w:rPr>
          <w:rFonts w:hint="default" w:ascii="Arial" w:hAnsi="Arial" w:eastAsia="宋体" w:cs="Arial"/>
          <w:i w:val="0"/>
          <w:iCs w:val="0"/>
          <w:caps w:val="0"/>
          <w:color w:val="000000"/>
          <w:spacing w:val="0"/>
          <w:kern w:val="0"/>
          <w:sz w:val="16"/>
          <w:szCs w:val="16"/>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四、分析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在进行病理实验的时候，常常会有这样一个问题困扰大家——对切片进行染色之后，如何进行分析？分析的预期结果是什么？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全景数字病理图像分析平台HALO</w:t>
      </w:r>
      <w:bookmarkStart w:id="0" w:name="_GoBack"/>
      <w:bookmarkEnd w:id="0"/>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能够帮助你解决类似的困惑。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HALO是美国Indica Labs公司开发的一款病理分析软件，致力于病理分析，能够从不同角度帮助病理分析的进行，软件的主要功能包括组织分型、定量分析、空间分析以及流程模块。已发表文章1100多篇，IF 10分以上文章250多篇，全球排名前20的药企有19家都是HALO的用户。</w:t>
      </w: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16"/>
          <w:szCs w:val="16"/>
          <w:shd w:val="clear" w:fill="FFFFFF"/>
          <w:lang w:val="en-US" w:eastAsia="zh-CN" w:bidi="ar"/>
        </w:rPr>
        <w:drawing>
          <wp:inline distT="0" distB="0" distL="114300" distR="114300">
            <wp:extent cx="5347970" cy="3146425"/>
            <wp:effectExtent l="0" t="0" r="1270" b="825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4"/>
                    <a:stretch>
                      <a:fillRect/>
                    </a:stretch>
                  </pic:blipFill>
                  <pic:spPr>
                    <a:xfrm>
                      <a:off x="0" y="0"/>
                      <a:ext cx="5347970" cy="3146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HALO能够兼容多类图像格式，能够对当前视野和整张图像进行分析；应用领域广阔，包括肿瘤、代谢、药效/毒理、生物标志物分析和靶点评估等；独特优势是操作简单便捷，分析通量高且迅速，得到的数据结果精准且详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Style w:val="6"/>
          <w:rFonts w:hint="eastAsia" w:ascii="微软雅黑" w:hAnsi="微软雅黑" w:eastAsia="微软雅黑" w:cs="微软雅黑"/>
          <w:b/>
          <w:bCs/>
          <w:i w:val="0"/>
          <w:iCs w:val="0"/>
          <w:caps w:val="0"/>
          <w:color w:val="BA372A"/>
          <w:spacing w:val="0"/>
          <w:kern w:val="0"/>
          <w:sz w:val="16"/>
          <w:szCs w:val="16"/>
          <w:bdr w:val="none" w:color="auto" w:sz="0" w:space="0"/>
          <w:shd w:val="clear" w:fill="FFFFFF"/>
          <w:lang w:val="en-US" w:eastAsia="zh-CN" w:bidi="ar"/>
        </w:rPr>
        <w:t>五、管理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在病理实验结束之后，实验者往往会有这样的苦恼——完成染色的玻片应如何处理？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在将图像进行扫描之后保存，清晰的扫描图像往往会占据大量内存空间，就需要外接硬盘来储存；在将图像与合作者进行分享的时候，这些大体积的图片又会使得分享过程变得复杂和麻烦；有时多人共享同一台工作电脑又会担心自己的研究成果泄露的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kern w:val="0"/>
          <w:sz w:val="16"/>
          <w:szCs w:val="16"/>
          <w:bdr w:val="none" w:color="auto" w:sz="0" w:space="0"/>
          <w:shd w:val="clear" w:fill="FFFFFF"/>
          <w:lang w:val="en-US" w:eastAsia="zh-CN" w:bidi="ar"/>
        </w:rPr>
        <w:t>HALO LINK图像管理系统能够帮助客户进行玻片管理、远程分析、安全共享和提供可视化服务；对于有需求的客户，尤其是企业客户，能给提供全面而有效的帮助。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Arial" w:hAnsi="Arial" w:cs="Arial"/>
          <w:i w:val="0"/>
          <w:iCs w:val="0"/>
          <w:caps w:val="0"/>
          <w:color w:val="000000"/>
          <w:spacing w:val="0"/>
          <w:sz w:val="16"/>
          <w:szCs w:val="16"/>
        </w:rPr>
      </w:pPr>
      <w:r>
        <w:rPr>
          <w:rFonts w:hint="eastAsia" w:ascii="微软雅黑" w:hAnsi="微软雅黑" w:eastAsia="微软雅黑" w:cs="微软雅黑"/>
          <w:i w:val="0"/>
          <w:iCs w:val="0"/>
          <w:caps w:val="0"/>
          <w:color w:val="000000"/>
          <w:spacing w:val="0"/>
          <w:sz w:val="16"/>
          <w:szCs w:val="16"/>
          <w:bdr w:val="none" w:color="auto" w:sz="0" w:space="0"/>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YaHe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0NmRhMDFmMzRjMzFmMWM5YjE2ZmYyNTk2OTM4MTQifQ=="/>
  </w:docVars>
  <w:rsids>
    <w:rsidRoot w:val="46BE470E"/>
    <w:rsid w:val="46BE4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2023-03-23T06:10:00Z</dcterms:created>
  <dc:creator>浅语吟</dc:creator>
  <cp:lastModifiedBy>浅语吟</cp:lastModifiedBy>
  <dcterms:modified xsi:type="dcterms:W3CDTF">2023-03-23T06:15:57Z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A0F3299BBF84497DB8F984DDB927BA97</vt:lpwstr>
  </property>
</Properties>
</file>