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2" w:beforeAutospacing="0" w:after="120" w:afterAutospacing="0" w:line="432" w:lineRule="atLeast"/>
        <w:ind w:left="0" w:right="0" w:firstLine="0"/>
        <w:jc w:val="center"/>
        <w:rPr>
          <w:rFonts w:hint="eastAsia" w:ascii="微软雅黑" w:hAnsi="微软雅黑" w:eastAsia="微软雅黑" w:cs="微软雅黑"/>
          <w:i w:val="0"/>
          <w:iCs w:val="0"/>
          <w:caps w:val="0"/>
          <w:color w:val="EA5404"/>
          <w:spacing w:val="0"/>
          <w:sz w:val="28"/>
          <w:szCs w:val="28"/>
        </w:rPr>
      </w:pPr>
      <w:r>
        <w:rPr>
          <w:rFonts w:hint="eastAsia" w:ascii="微软雅黑" w:hAnsi="微软雅黑" w:eastAsia="微软雅黑" w:cs="微软雅黑"/>
          <w:i w:val="0"/>
          <w:iCs w:val="0"/>
          <w:caps w:val="0"/>
          <w:color w:val="EA5404"/>
          <w:spacing w:val="0"/>
          <w:sz w:val="28"/>
          <w:szCs w:val="28"/>
          <w:bdr w:val="none" w:color="auto" w:sz="0" w:space="0"/>
        </w:rPr>
        <w:t>分子克隆技术全攻略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sz w:val="16"/>
          <w:szCs w:val="16"/>
          <w:bdr w:val="none" w:color="auto" w:sz="0" w:space="0"/>
          <w:shd w:val="clear" w:fill="FFFFFF"/>
        </w:rPr>
        <w:t>70年代初期基因工程分子克隆技术的诞生将生命科学研究推入了一个快速发展的新时代，以它作为研究的切入点许多的生物学难题取得了突破性解决。基因可以在物种之间转移表达，基因工程药物得到开发，基因治疗得以实现，转基因植物、动物等农业新品种被培育出来，生物进化从此进入了人类知识干预的历史进程。被评为世纪三大科学成就之一的“</w:t>
      </w:r>
      <w:r>
        <w:rPr>
          <w:rStyle w:val="6"/>
          <w:rFonts w:hint="eastAsia" w:ascii="微软雅黑" w:hAnsi="微软雅黑" w:eastAsia="微软雅黑" w:cs="微软雅黑"/>
          <w:b/>
          <w:bCs/>
          <w:i w:val="0"/>
          <w:iCs w:val="0"/>
          <w:caps w:val="0"/>
          <w:color w:val="333333"/>
          <w:spacing w:val="0"/>
          <w:sz w:val="16"/>
          <w:szCs w:val="16"/>
          <w:bdr w:val="none" w:color="auto" w:sz="0" w:space="0"/>
          <w:shd w:val="clear" w:fill="FFFFFF"/>
        </w:rPr>
        <w:t>人类基因组测序</w:t>
      </w:r>
      <w:r>
        <w:rPr>
          <w:rFonts w:hint="eastAsia" w:ascii="微软雅黑" w:hAnsi="微软雅黑" w:eastAsia="微软雅黑" w:cs="微软雅黑"/>
          <w:i w:val="0"/>
          <w:iCs w:val="0"/>
          <w:caps w:val="0"/>
          <w:color w:val="333333"/>
          <w:spacing w:val="0"/>
          <w:sz w:val="16"/>
          <w:szCs w:val="16"/>
          <w:bdr w:val="none" w:color="auto" w:sz="0" w:space="0"/>
          <w:shd w:val="clear" w:fill="FFFFFF"/>
        </w:rPr>
        <w:t>”的实现，也是在分子克隆技术基础上的人类一大杰作。生命科学的内容不再是条块分割的拼盘，而是以分子生物学和细胞生物学的概念为一体的、统一的生物学。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sz w:val="16"/>
          <w:szCs w:val="16"/>
          <w:bdr w:val="none" w:color="auto" w:sz="0" w:space="0"/>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5188585" cy="3865245"/>
            <wp:effectExtent l="0" t="0" r="8255" b="571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188585" cy="38652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7E8C8D"/>
          <w:spacing w:val="0"/>
          <w:sz w:val="14"/>
          <w:szCs w:val="14"/>
          <w:bdr w:val="none" w:color="auto" w:sz="0" w:space="0"/>
          <w:shd w:val="clear" w:fill="FFFFFF"/>
        </w:rPr>
        <w:t>图1 基因编辑（图片来源于网络）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sz w:val="16"/>
          <w:szCs w:val="16"/>
          <w:bdr w:val="none" w:color="auto" w:sz="0" w:space="0"/>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4511675" cy="2538095"/>
            <wp:effectExtent l="0" t="0" r="14605" b="6985"/>
            <wp:docPr id="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7"/>
                    <pic:cNvPicPr>
                      <a:picLocks noChangeAspect="1"/>
                    </pic:cNvPicPr>
                  </pic:nvPicPr>
                  <pic:blipFill>
                    <a:blip r:embed="rId5"/>
                    <a:stretch>
                      <a:fillRect/>
                    </a:stretch>
                  </pic:blipFill>
                  <pic:spPr>
                    <a:xfrm>
                      <a:off x="0" y="0"/>
                      <a:ext cx="4511675" cy="2538095"/>
                    </a:xfrm>
                    <a:prstGeom prst="rect">
                      <a:avLst/>
                    </a:prstGeom>
                    <a:noFill/>
                    <a:ln w="9525">
                      <a:noFill/>
                    </a:ln>
                  </pic:spPr>
                </pic:pic>
              </a:graphicData>
            </a:graphic>
          </wp:inline>
        </w:drawing>
      </w:r>
    </w:p>
    <w:p>
      <w:pPr>
        <w:keepNext w:val="0"/>
        <w:keepLines w:val="0"/>
        <w:widowControl/>
        <w:suppressLineNumbers w:val="0"/>
        <w:jc w:val="left"/>
        <w:rPr>
          <w:rFonts w:hint="eastAsia" w:ascii="微软雅黑" w:hAnsi="微软雅黑" w:eastAsia="微软雅黑" w:cs="微软雅黑"/>
          <w:i w:val="0"/>
          <w:iCs w:val="0"/>
        </w:rPr>
      </w:pPr>
      <w:r>
        <w:rPr>
          <w:rStyle w:val="6"/>
          <w:rFonts w:hint="eastAsia" w:ascii="微软雅黑" w:hAnsi="微软雅黑" w:eastAsia="微软雅黑" w:cs="微软雅黑"/>
          <w:b/>
          <w:bCs/>
          <w:i w:val="0"/>
          <w:iCs w:val="0"/>
          <w:kern w:val="0"/>
          <w:sz w:val="24"/>
          <w:szCs w:val="24"/>
          <w:bdr w:val="none" w:color="auto" w:sz="0" w:space="0"/>
          <w:lang w:val="en-US" w:eastAsia="zh-CN" w:bidi="ar"/>
        </w:rPr>
        <w:t>What？分子克隆的概念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sz w:val="16"/>
          <w:szCs w:val="16"/>
          <w:bdr w:val="none" w:color="auto" w:sz="0" w:space="0"/>
          <w:shd w:val="clear" w:fill="FFFFFF"/>
        </w:rPr>
        <w:t>分子克隆（基因克隆/DNA重组/载体构建）技术在分子水平上提供一种纯化和扩增特定DNA片段的方法。常含有目的基因，用体外重组方法将它们插入克隆载体，形成重组克隆载体，通过转化与转导的方式，引入适合的寄主体内得到复制与扩增，然后再从筛选的寄主细胞内分离提纯所需的克隆载体，可以得到插入DNA的许多拷贝，从而获得目的基因的扩增。其主要目的就是大量扩增目的基因，为下一步的基因功能研究做准备。可以应用于蛋白表达、病毒包装、基因治疗、细胞治疗、mRNA疫苗、RNAi干扰、细胞功能等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sz w:val="16"/>
          <w:szCs w:val="16"/>
          <w:bdr w:val="none" w:color="auto" w:sz="0" w:space="0"/>
          <w:shd w:val="clear" w:fill="FFFFFF"/>
        </w:rPr>
        <w:br w:type="textWrapping"/>
      </w:r>
      <w:r>
        <w:rPr>
          <w:rFonts w:hint="eastAsia" w:ascii="微软雅黑" w:hAnsi="微软雅黑" w:eastAsia="微软雅黑" w:cs="微软雅黑"/>
          <w:i w:val="0"/>
          <w:iCs w:val="0"/>
          <w:caps w:val="0"/>
          <w:color w:val="333333"/>
          <w:spacing w:val="0"/>
          <w:sz w:val="16"/>
          <w:szCs w:val="16"/>
          <w:bdr w:val="none" w:color="auto" w:sz="0" w:space="0"/>
          <w:shd w:val="clear" w:fill="FFFFFF"/>
        </w:rPr>
        <w:drawing>
          <wp:inline distT="0" distB="0" distL="114300" distR="114300">
            <wp:extent cx="5288280" cy="2168525"/>
            <wp:effectExtent l="0" t="0" r="0" b="1079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6"/>
                    <a:stretch>
                      <a:fillRect/>
                    </a:stretch>
                  </pic:blipFill>
                  <pic:spPr>
                    <a:xfrm>
                      <a:off x="0" y="0"/>
                      <a:ext cx="5288280" cy="2168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7E8C8D"/>
          <w:spacing w:val="0"/>
          <w:sz w:val="14"/>
          <w:szCs w:val="14"/>
          <w:bdr w:val="none" w:color="auto" w:sz="0" w:space="0"/>
          <w:shd w:val="clear" w:fill="FFFFFF"/>
        </w:rPr>
        <w:t>图2 分子克隆技术</w:t>
      </w:r>
    </w:p>
    <w:p>
      <w:pPr>
        <w:keepNext w:val="0"/>
        <w:keepLines w:val="0"/>
        <w:widowControl/>
        <w:suppressLineNumbers w:val="0"/>
        <w:jc w:val="left"/>
        <w:rPr>
          <w:rStyle w:val="6"/>
          <w:rFonts w:hint="eastAsia" w:ascii="微软雅黑" w:hAnsi="微软雅黑" w:eastAsia="微软雅黑" w:cs="微软雅黑"/>
          <w:b/>
          <w:bCs/>
          <w:i w:val="0"/>
          <w:iCs w:val="0"/>
          <w:kern w:val="0"/>
          <w:sz w:val="24"/>
          <w:szCs w:val="24"/>
          <w:bdr w:val="none" w:color="auto" w:sz="0" w:space="0"/>
          <w:lang w:val="en-US" w:eastAsia="zh-CN" w:bidi="ar"/>
        </w:rPr>
      </w:pPr>
    </w:p>
    <w:p>
      <w:pPr>
        <w:keepNext w:val="0"/>
        <w:keepLines w:val="0"/>
        <w:widowControl/>
        <w:suppressLineNumbers w:val="0"/>
        <w:jc w:val="left"/>
        <w:rPr>
          <w:rFonts w:hint="eastAsia" w:ascii="微软雅黑" w:hAnsi="微软雅黑" w:eastAsia="微软雅黑" w:cs="微软雅黑"/>
        </w:rPr>
      </w:pPr>
      <w:r>
        <w:rPr>
          <w:rStyle w:val="6"/>
          <w:rFonts w:hint="eastAsia" w:ascii="微软雅黑" w:hAnsi="微软雅黑" w:eastAsia="微软雅黑" w:cs="微软雅黑"/>
          <w:b/>
          <w:bCs/>
          <w:i w:val="0"/>
          <w:iCs w:val="0"/>
          <w:kern w:val="0"/>
          <w:sz w:val="24"/>
          <w:szCs w:val="24"/>
          <w:bdr w:val="none" w:color="auto" w:sz="0" w:space="0"/>
          <w:lang w:val="en-US" w:eastAsia="zh-CN" w:bidi="ar"/>
        </w:rPr>
        <w:t>Why？分子克隆原理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i w:val="0"/>
          <w:iCs w:val="0"/>
          <w:caps w:val="0"/>
          <w:color w:val="333333"/>
          <w:spacing w:val="0"/>
          <w:sz w:val="16"/>
          <w:szCs w:val="16"/>
          <w:bdr w:val="none" w:color="auto" w:sz="0" w:space="0"/>
          <w:shd w:val="clear" w:fill="FFFFFF"/>
        </w:rPr>
      </w:pPr>
      <w:r>
        <w:rPr>
          <w:rFonts w:hint="eastAsia" w:ascii="微软雅黑" w:hAnsi="微软雅黑" w:eastAsia="微软雅黑" w:cs="微软雅黑"/>
          <w:i w:val="0"/>
          <w:iCs w:val="0"/>
          <w:caps w:val="0"/>
          <w:color w:val="333333"/>
          <w:spacing w:val="0"/>
          <w:sz w:val="16"/>
          <w:szCs w:val="16"/>
          <w:bdr w:val="none" w:color="auto" w:sz="0" w:space="0"/>
          <w:shd w:val="clear" w:fill="FFFFFF"/>
        </w:rPr>
        <w:t>分子克隆技术简单地可以理解为将DNA片段(或基因)与载体共价连接，然后引入寄主细胞，再筛选获得重组的克隆。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i w:val="0"/>
          <w:iCs w:val="0"/>
          <w:caps w:val="0"/>
          <w:color w:val="333333"/>
          <w:spacing w:val="0"/>
          <w:sz w:val="16"/>
          <w:szCs w:val="16"/>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i w:val="0"/>
          <w:iCs w:val="0"/>
          <w:caps w:val="0"/>
          <w:color w:val="333333"/>
          <w:spacing w:val="0"/>
          <w:sz w:val="16"/>
          <w:szCs w:val="16"/>
          <w:bdr w:val="none" w:color="auto" w:sz="0" w:space="0"/>
          <w:shd w:val="clear" w:fill="FFFFFF"/>
        </w:rPr>
      </w:pPr>
      <w:r>
        <w:rPr>
          <w:rFonts w:hint="eastAsia" w:ascii="微软雅黑" w:hAnsi="微软雅黑" w:eastAsia="微软雅黑" w:cs="微软雅黑"/>
          <w:i w:val="0"/>
          <w:iCs w:val="0"/>
          <w:caps w:val="0"/>
          <w:color w:val="333333"/>
          <w:spacing w:val="0"/>
          <w:sz w:val="16"/>
          <w:szCs w:val="16"/>
          <w:bdr w:val="none" w:color="auto" w:sz="0" w:space="0"/>
          <w:shd w:val="clear" w:fill="FFFFFF"/>
        </w:rPr>
        <w:t>分子克隆方法的第一步是获得所需的插入物（目的基因），目的基因可以是来自真核、原核生物的任何细胞类型的DNA或mRNA，也可以是实验室直接合成的。通过PCR、酶切等技术将基因组DNA或cDNA（通过mRNA体外逆转录合成cDNA）中分离得到一段含有目的基因的DNA序列，通过产物纯化后连接到线性化的载体上。关于载体一般常用到的是质粒载体，它是一种小型环状DNA分子—在基因工程中作为最常用，最简单的载体。与天然质粒相比，质粒载体通常带有一个或一个以上的选择性标记基因（如抗生素抗性基因）和一个人工合成的含有多个限制性内切酶识别位点的多克隆位点序列，并去掉了大部分非必需序列，使分子量尽可能减少，以便于基因工程操作。通过用相同的限制性内切酶(例如EcoRI等)切割载体DNA和外源DNA（目的基因），使切割后载体与外源DNA产生末端相容的构型。将载体和制备的目的DNA混合在DNA连接酶作用下进行连接反应，从而完成了重组DNA的构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i w:val="0"/>
          <w:iCs w:val="0"/>
          <w:caps w:val="0"/>
          <w:color w:val="333333"/>
          <w:spacing w:val="0"/>
          <w:sz w:val="16"/>
          <w:szCs w:val="16"/>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sz w:val="16"/>
          <w:szCs w:val="16"/>
          <w:bdr w:val="none" w:color="auto" w:sz="0" w:space="0"/>
          <w:shd w:val="clear" w:fill="FFFFFF"/>
        </w:rPr>
        <w:t>完成目的基因与载体的重组后还不完事哦！要将重组DNA导入宿主生物体（一般选择的是大肠杆菌）进行大量复制。作为宿主的工程菌在某些化学条件或物理刺激下会改变其细胞膜的通透性,从而易于将细胞表面附着的外源基因吸收到胞内,这一过程即转化。利用选择标记可以很容易鉴别成功导入目的基因的工程菌,比如抗生素抗性筛选——凡是成功导入重组载体的工程菌均获得某种抗生素抗性,而未导入的工程菌则不能在含该抗生素的培养基中生长，这就是初步阳性菌株的筛选。后续进行相应的阳性单克隆鉴定以及质粒测序即圆满完成分子克隆实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sz w:val="16"/>
          <w:szCs w:val="16"/>
          <w:bdr w:val="none" w:color="auto" w:sz="0" w:space="0"/>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4053840" cy="3067685"/>
            <wp:effectExtent l="0" t="0" r="0" b="10795"/>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7"/>
                    <a:stretch>
                      <a:fillRect/>
                    </a:stretch>
                  </pic:blipFill>
                  <pic:spPr>
                    <a:xfrm>
                      <a:off x="0" y="0"/>
                      <a:ext cx="4053840" cy="30676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7E8C8D"/>
          <w:spacing w:val="0"/>
          <w:sz w:val="14"/>
          <w:szCs w:val="14"/>
          <w:bdr w:val="none" w:color="auto" w:sz="0" w:space="0"/>
          <w:shd w:val="clear" w:fill="FFFFFF"/>
        </w:rPr>
        <w:t>图3 质粒图谱</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sz w:val="16"/>
          <w:szCs w:val="16"/>
          <w:bdr w:val="none" w:color="auto" w:sz="0" w:space="0"/>
          <w:shd w:val="clear" w:fill="FFFFFF"/>
        </w:rPr>
        <w:t> </w:t>
      </w:r>
    </w:p>
    <w:p>
      <w:pPr>
        <w:keepNext w:val="0"/>
        <w:keepLines w:val="0"/>
        <w:widowControl/>
        <w:suppressLineNumbers w:val="0"/>
        <w:jc w:val="left"/>
        <w:rPr>
          <w:rFonts w:hint="eastAsia" w:ascii="微软雅黑" w:hAnsi="微软雅黑" w:eastAsia="微软雅黑" w:cs="微软雅黑"/>
        </w:rPr>
      </w:pPr>
      <w:r>
        <w:rPr>
          <w:rStyle w:val="6"/>
          <w:rFonts w:hint="eastAsia" w:ascii="微软雅黑" w:hAnsi="微软雅黑" w:eastAsia="微软雅黑" w:cs="微软雅黑"/>
          <w:b/>
          <w:bCs/>
          <w:i w:val="0"/>
          <w:iCs w:val="0"/>
          <w:kern w:val="0"/>
          <w:sz w:val="24"/>
          <w:szCs w:val="24"/>
          <w:bdr w:val="none" w:color="auto" w:sz="0" w:space="0"/>
          <w:lang w:val="en-US" w:eastAsia="zh-CN" w:bidi="ar"/>
        </w:rPr>
        <w:t>How?一般实验流程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sz w:val="16"/>
          <w:szCs w:val="16"/>
          <w:bdr w:val="none" w:color="auto" w:sz="0" w:space="0"/>
          <w:shd w:val="clear" w:fill="FFFFFF"/>
        </w:rPr>
        <w:t>整个分子克隆从设计引物开始,根据需要拿到的目的蛋白相应地核酸序列,设计出含有酶切位点及所需Tag的特异性引物分子。剩下就是获得目的基因、酶切、连接、转化和筛选、菌液PCR或酶切鉴定及测序比对。主要的实验流程如下图所示，不同的克隆方法（我们下期继续介绍）在酶切和连接的步骤会有所不同，不同整体的流程基本一致。</w:t>
      </w:r>
      <w:r>
        <w:rPr>
          <w:rFonts w:hint="eastAsia" w:ascii="微软雅黑" w:hAnsi="微软雅黑" w:eastAsia="微软雅黑" w:cs="微软雅黑"/>
          <w:i w:val="0"/>
          <w:iCs w:val="0"/>
          <w:caps w:val="0"/>
          <w:color w:val="333333"/>
          <w:spacing w:val="0"/>
          <w:sz w:val="16"/>
          <w:szCs w:val="16"/>
          <w:bdr w:val="none" w:color="auto" w:sz="0" w:space="0"/>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2654935" cy="3689985"/>
            <wp:effectExtent l="0" t="0" r="12065" b="13335"/>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8"/>
                    <a:stretch>
                      <a:fillRect/>
                    </a:stretch>
                  </pic:blipFill>
                  <pic:spPr>
                    <a:xfrm>
                      <a:off x="0" y="0"/>
                      <a:ext cx="2654935" cy="36899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7E8C8D"/>
          <w:spacing w:val="0"/>
          <w:sz w:val="14"/>
          <w:szCs w:val="14"/>
          <w:bdr w:val="none" w:color="auto" w:sz="0" w:space="0"/>
          <w:shd w:val="clear" w:fill="FFFFFF"/>
        </w:rPr>
        <w:t>图4 分子克隆技术一般流程图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rPr>
      </w:pPr>
      <w:bookmarkStart w:id="0" w:name="_GoBack"/>
      <w:bookmarkEnd w:id="0"/>
      <w:r>
        <w:rPr>
          <w:rStyle w:val="6"/>
          <w:rFonts w:hint="eastAsia" w:ascii="微软雅黑" w:hAnsi="微软雅黑" w:eastAsia="微软雅黑" w:cs="微软雅黑"/>
          <w:b/>
          <w:bCs/>
          <w:i w:val="0"/>
          <w:iCs w:val="0"/>
          <w:kern w:val="0"/>
          <w:sz w:val="16"/>
          <w:szCs w:val="16"/>
          <w:bdr w:val="none" w:color="auto" w:sz="0" w:space="0"/>
          <w:lang w:val="en-US" w:eastAsia="zh-CN" w:bidi="ar"/>
        </w:rPr>
        <w:t>分子克隆相关产品推荐</w:t>
      </w:r>
    </w:p>
    <w:tbl>
      <w:tblPr>
        <w:tblW w:w="816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1254"/>
        <w:gridCol w:w="4186"/>
        <w:gridCol w:w="27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8CAC6"/>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Style w:val="6"/>
                <w:rFonts w:hint="eastAsia" w:ascii="微软雅黑" w:hAnsi="微软雅黑" w:eastAsia="微软雅黑" w:cs="微软雅黑"/>
                <w:b/>
                <w:bCs/>
                <w:i w:val="0"/>
                <w:iCs w:val="0"/>
                <w:caps w:val="0"/>
                <w:color w:val="333333"/>
                <w:spacing w:val="0"/>
                <w:sz w:val="14"/>
                <w:szCs w:val="14"/>
                <w:bdr w:val="none" w:color="auto" w:sz="0" w:space="0"/>
              </w:rPr>
              <w:t>货号</w:t>
            </w:r>
          </w:p>
        </w:tc>
        <w:tc>
          <w:tcPr>
            <w:tcW w:w="4181" w:type="dxa"/>
            <w:tcBorders>
              <w:top w:val="outset" w:color="auto" w:sz="6" w:space="0"/>
              <w:left w:val="outset" w:color="auto" w:sz="6" w:space="0"/>
              <w:bottom w:val="outset" w:color="auto" w:sz="6" w:space="0"/>
              <w:right w:val="outset" w:color="auto" w:sz="6" w:space="0"/>
            </w:tcBorders>
            <w:shd w:val="clear" w:color="auto" w:fill="F8CAC6"/>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Style w:val="6"/>
                <w:rFonts w:hint="eastAsia" w:ascii="微软雅黑" w:hAnsi="微软雅黑" w:eastAsia="微软雅黑" w:cs="微软雅黑"/>
                <w:b/>
                <w:bCs/>
                <w:i w:val="0"/>
                <w:iCs w:val="0"/>
                <w:caps w:val="0"/>
                <w:color w:val="333333"/>
                <w:spacing w:val="0"/>
                <w:sz w:val="14"/>
                <w:szCs w:val="14"/>
                <w:bdr w:val="none" w:color="auto" w:sz="0" w:space="0"/>
              </w:rPr>
              <w:t>产品名称</w:t>
            </w:r>
          </w:p>
        </w:tc>
        <w:tc>
          <w:tcPr>
            <w:tcW w:w="2717" w:type="dxa"/>
            <w:tcBorders>
              <w:top w:val="outset" w:color="auto" w:sz="6" w:space="0"/>
              <w:left w:val="outset" w:color="auto" w:sz="6" w:space="0"/>
              <w:bottom w:val="outset" w:color="auto" w:sz="6" w:space="0"/>
              <w:right w:val="outset" w:color="auto" w:sz="6" w:space="0"/>
            </w:tcBorders>
            <w:shd w:val="clear" w:color="auto" w:fill="F8CAC6"/>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Style w:val="6"/>
                <w:rFonts w:hint="eastAsia" w:ascii="微软雅黑" w:hAnsi="微软雅黑" w:eastAsia="微软雅黑" w:cs="微软雅黑"/>
                <w:b/>
                <w:bCs/>
                <w:i w:val="0"/>
                <w:iCs w:val="0"/>
                <w:caps w:val="0"/>
                <w:color w:val="333333"/>
                <w:spacing w:val="0"/>
                <w:sz w:val="14"/>
                <w:szCs w:val="14"/>
                <w:bdr w:val="none" w:color="auto" w:sz="0" w:space="0"/>
              </w:rPr>
              <w:t>规格</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"https://www.absin.cn/taq-pcr-mix/abs60036.html"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abs60036</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2×Taq PCR Mix</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1ml*5/1ml*20/1ml*50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"https://www.absin.cn/xerox-pcr-master-mix/abs60034.html"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abs60034</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2×Xerox PCR Master Mix</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1ml/1ml*5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"https://www.absin.cn/pcr-dna-fragment-purification-kit/abs60167.html"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abs60167</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PCR &amp; DNA 片段纯化试剂盒</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50T/200T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"https://www.absin.cn/pcr-purification-kit/abs7991.html"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abs7991</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PCR 产物纯化试剂盒（磁珠法）</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5ml/60ml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6"/>
                <w:szCs w:val="16"/>
                <w:u w:val="none"/>
                <w:bdr w:val="none" w:color="auto" w:sz="0" w:space="0"/>
              </w:rPr>
              <w:fldChar w:fldCharType="begin"/>
            </w:r>
            <w:r>
              <w:rPr>
                <w:rFonts w:hint="eastAsia" w:ascii="微软雅黑" w:hAnsi="微软雅黑" w:eastAsia="微软雅黑" w:cs="微软雅黑"/>
                <w:i w:val="0"/>
                <w:iCs w:val="0"/>
                <w:caps w:val="0"/>
                <w:color w:val="000000"/>
                <w:spacing w:val="0"/>
                <w:sz w:val="16"/>
                <w:szCs w:val="16"/>
                <w:u w:val="none"/>
                <w:bdr w:val="none" w:color="auto" w:sz="0" w:space="0"/>
              </w:rPr>
              <w:instrText xml:space="preserve"> HYPERLINK "https://www.absin.cn/endotoxin-free-vector-extraction-mini-kit/abs60023.html" </w:instrText>
            </w:r>
            <w:r>
              <w:rPr>
                <w:rFonts w:hint="eastAsia" w:ascii="微软雅黑" w:hAnsi="微软雅黑" w:eastAsia="微软雅黑" w:cs="微软雅黑"/>
                <w:i w:val="0"/>
                <w:iCs w:val="0"/>
                <w:caps w:val="0"/>
                <w:color w:val="000000"/>
                <w:spacing w:val="0"/>
                <w:sz w:val="16"/>
                <w:szCs w:val="16"/>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abs60023</w:t>
            </w:r>
            <w:r>
              <w:rPr>
                <w:rFonts w:hint="eastAsia" w:ascii="微软雅黑" w:hAnsi="微软雅黑" w:eastAsia="微软雅黑" w:cs="微软雅黑"/>
                <w:i w:val="0"/>
                <w:iCs w:val="0"/>
                <w:caps w:val="0"/>
                <w:color w:val="000000"/>
                <w:spacing w:val="0"/>
                <w:sz w:val="16"/>
                <w:szCs w:val="16"/>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高纯度质粒快速提取试剂盒</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50T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"https://www.absin.cn/bsa-i/abs60171.html"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abs60171</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BsaⅠ限制性内切酶</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1KU/5KU/10KU</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"https://www.absin.cn/cla1/abs60209.html"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abs60209</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快速内切酶ClaI</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50T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"https://www.absin.cn/ecor1/abs60213.html"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abs60213</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快速内切酶EcoRI</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600T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"https://www.absin.cn/pst1/abs60230.html"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abs60230</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快速内切酶PstI</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500T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"https://www.absin.cn/h1nd3/abs60217.html"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abs60217</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快速内切酶HindIII</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500T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"https://www.absin.cn/t4-dna-ligase/abs60084.html"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abs60084</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T4 DNA Ligase</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500U/500U×10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"https://www.absin.cn/site-directed-mutagenesis-kit/abs60097.html"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abs60097</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Site-directed Mutagenesis Kit</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10T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"https://www.absin.cn/xl-site-directed-mutagenesis-kit/abs60099.html"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abs60099</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XL Site-directed Mutagenesis Kit</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10T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"https://www.absin.cn/multi-site-directed-mutagenesis-kkit/abs60100.html"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abs60100</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Multi Site-directed Mutagenesis Kit</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10T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"https://www.absin.cn/random-mutagenesis-kit/abs60104.html"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abs60104</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Random Mutagenesis Kit</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20T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"https://www.absin.cn/t-vector-q-cloning-kit/abs60085.html"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abs60085</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T-Vector快速克隆试剂盒</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20T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"https://www.absin.cn/pbm21-quick-cloning-kit/abs60089.html"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abs60089</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pBM21快速克隆试剂盒</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20T/3×20T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"https://www.absin.cn/pbm22-quick-cloning-kit/abs60090.html"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abs60090</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pBM22快速克隆试剂盒</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20T/3×20T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"https://www.absin.cn/t-vector-ptop0-q-cloning-kit/abs60091.html"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abs60091</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T-Vector pTOPO快速克隆试剂盒</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20T/100T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"https://www.absin.cn/blunt-ptop0-q-cloning-kit/abs60094.html"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abs60094</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Blunt pTOPO快速克隆试剂盒</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20T/100T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"https://www.absin.cn/pbm16a-toposmart-quick-cloning-kit/abs60095.html"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abs60095</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pBM16A Toposmart快速克隆试剂盒</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20T/3×20T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"https://www.absin.cn/pbm27-toposmart-quick-cloning-kit/abs60096.html"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abs60096</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pBM27 Toposmart快速克隆试剂盒</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20T/3×20T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"https://www.absin.cn/lightning-dna-assembly-mix-plus/abs60250.html"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abs60250</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快速多片段DNA组装预混液</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50T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"https://www.absin.cn/tbe-page-gel/abs9314.html"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abs9314</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核酸非变性预制胶5%,10wells</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10片/盒</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"https://www.absin.cn/tbe-page-gel/abs9315.html"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abs9315</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核酸非变性预制胶10%,10wells</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10片/盒</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"https://www.absin.cn/tbe-page-gel/abs9316.html"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abs9316</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核酸非变性预制胶15%,10wells</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10片/盒</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"https://www.absin.cn/tbe-page-gel/abs9317.html"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abs9317</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核酸非变性预制胶5%,15wells</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10片/盒</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"https://www.absin.cn/tbe-page-gel/abs9318.html"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abs9318</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核酸非变性预制胶10%,15wells</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10片/盒</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80" w:hRule="atLeast"/>
        </w:trPr>
        <w:tc>
          <w:tcPr>
            <w:tcW w:w="1252"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000000"/>
                <w:spacing w:val="0"/>
                <w:sz w:val="14"/>
                <w:szCs w:val="14"/>
                <w:u w:val="none"/>
                <w:bdr w:val="none" w:color="auto" w:sz="0" w:space="0"/>
              </w:rPr>
              <w:fldChar w:fldCharType="begin"/>
            </w:r>
            <w:r>
              <w:rPr>
                <w:rFonts w:hint="eastAsia" w:ascii="微软雅黑" w:hAnsi="微软雅黑" w:eastAsia="微软雅黑" w:cs="微软雅黑"/>
                <w:i w:val="0"/>
                <w:iCs w:val="0"/>
                <w:caps w:val="0"/>
                <w:color w:val="000000"/>
                <w:spacing w:val="0"/>
                <w:sz w:val="14"/>
                <w:szCs w:val="14"/>
                <w:u w:val="none"/>
                <w:bdr w:val="none" w:color="auto" w:sz="0" w:space="0"/>
              </w:rPr>
              <w:instrText xml:space="preserve"> HYPERLINK "https://www.absin.cn/tbe-page-gel/abs9319.html" </w:instrText>
            </w:r>
            <w:r>
              <w:rPr>
                <w:rFonts w:hint="eastAsia" w:ascii="微软雅黑" w:hAnsi="微软雅黑" w:eastAsia="微软雅黑" w:cs="微软雅黑"/>
                <w:i w:val="0"/>
                <w:iCs w:val="0"/>
                <w:caps w:val="0"/>
                <w:color w:val="000000"/>
                <w:spacing w:val="0"/>
                <w:sz w:val="14"/>
                <w:szCs w:val="14"/>
                <w:u w:val="none"/>
                <w:bdr w:val="none" w:color="auto" w:sz="0" w:space="0"/>
              </w:rPr>
              <w:fldChar w:fldCharType="separate"/>
            </w:r>
            <w:r>
              <w:rPr>
                <w:rStyle w:val="7"/>
                <w:rFonts w:hint="eastAsia" w:ascii="微软雅黑" w:hAnsi="微软雅黑" w:eastAsia="微软雅黑" w:cs="微软雅黑"/>
                <w:i w:val="0"/>
                <w:iCs w:val="0"/>
                <w:caps w:val="0"/>
                <w:color w:val="000000"/>
                <w:spacing w:val="0"/>
                <w:sz w:val="14"/>
                <w:szCs w:val="14"/>
                <w:u w:val="none"/>
                <w:bdr w:val="none" w:color="auto" w:sz="0" w:space="0"/>
              </w:rPr>
              <w:t>abs9319</w:t>
            </w:r>
            <w:r>
              <w:rPr>
                <w:rFonts w:hint="eastAsia" w:ascii="微软雅黑" w:hAnsi="微软雅黑" w:eastAsia="微软雅黑" w:cs="微软雅黑"/>
                <w:i w:val="0"/>
                <w:iCs w:val="0"/>
                <w:caps w:val="0"/>
                <w:color w:val="000000"/>
                <w:spacing w:val="0"/>
                <w:sz w:val="14"/>
                <w:szCs w:val="14"/>
                <w:u w:val="none"/>
                <w:bdr w:val="none" w:color="auto" w:sz="0" w:space="0"/>
              </w:rPr>
              <w:fldChar w:fldCharType="end"/>
            </w:r>
          </w:p>
        </w:tc>
        <w:tc>
          <w:tcPr>
            <w:tcW w:w="4181"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核酸非变性预制胶15%,15wells</w:t>
            </w:r>
          </w:p>
        </w:tc>
        <w:tc>
          <w:tcPr>
            <w:tcW w:w="2717"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iCs w:val="0"/>
              </w:rPr>
            </w:pPr>
            <w:r>
              <w:rPr>
                <w:rFonts w:hint="eastAsia" w:ascii="微软雅黑" w:hAnsi="微软雅黑" w:eastAsia="微软雅黑" w:cs="微软雅黑"/>
                <w:i w:val="0"/>
                <w:iCs w:val="0"/>
                <w:caps w:val="0"/>
                <w:color w:val="333333"/>
                <w:spacing w:val="0"/>
                <w:sz w:val="14"/>
                <w:szCs w:val="14"/>
                <w:bdr w:val="none" w:color="auto" w:sz="0" w:space="0"/>
              </w:rPr>
              <w:t>10片/盒</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bdr w:val="none" w:color="auto" w:sz="0" w:space="0"/>
          <w:shd w:val="clear" w:fill="FFFFFF"/>
          <w:lang w:val="en-US" w:eastAsia="zh-CN" w:bidi="ar"/>
        </w:rPr>
        <w:drawing>
          <wp:inline distT="0" distB="0" distL="114300" distR="114300">
            <wp:extent cx="1905000" cy="1647825"/>
            <wp:effectExtent l="0" t="0" r="0" b="13335"/>
            <wp:docPr id="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65"/>
                    <pic:cNvPicPr>
                      <a:picLocks noChangeAspect="1"/>
                    </pic:cNvPicPr>
                  </pic:nvPicPr>
                  <pic:blipFill>
                    <a:blip r:embed="rId9"/>
                    <a:stretch>
                      <a:fillRect/>
                    </a:stretch>
                  </pic:blipFill>
                  <pic:spPr>
                    <a:xfrm>
                      <a:off x="0" y="0"/>
                      <a:ext cx="1905000" cy="1647825"/>
                    </a:xfrm>
                    <a:prstGeom prst="rect">
                      <a:avLst/>
                    </a:prstGeom>
                    <a:noFill/>
                    <a:ln w="9525">
                      <a:noFill/>
                    </a:ln>
                  </pic:spPr>
                </pic:pic>
              </a:graphicData>
            </a:graphic>
          </wp:inline>
        </w:drawing>
      </w:r>
    </w:p>
    <w:p>
      <w:pPr>
        <w:keepNext w:val="0"/>
        <w:keepLines w:val="0"/>
        <w:widowControl/>
        <w:suppressLineNumbers w:val="0"/>
        <w:jc w:val="left"/>
        <w:rPr>
          <w:rFonts w:hint="eastAsia" w:ascii="微软雅黑" w:hAnsi="微软雅黑" w:eastAsia="微软雅黑" w:cs="微软雅黑"/>
        </w:rPr>
      </w:pPr>
    </w:p>
    <w:p>
      <w:pPr>
        <w:rPr>
          <w:rFonts w:hint="eastAsia" w:ascii="微软雅黑" w:hAnsi="微软雅黑" w:eastAsia="微软雅黑" w:cs="微软雅黑"/>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YaHei-Bol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0NmRhMDFmMzRjMzFmMWM5YjE2ZmYyNTk2OTM4MTQifQ=="/>
  </w:docVars>
  <w:rsids>
    <w:rsidRoot w:val="60154199"/>
    <w:rsid w:val="601541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2023-03-23T06:16:00Z</dcterms:created>
  <dc:creator>浅语吟</dc:creator>
  <cp:lastModifiedBy>浅语吟</cp:lastModifiedBy>
  <dcterms:modified xsi:type="dcterms:W3CDTF">2023-03-23T06:20:26Z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89332A2ED65D45D999F2DCD4F0B19F5E</vt:lpwstr>
  </property>
</Properties>
</file>