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eastAsia="zh-CN"/>
        </w:rPr>
      </w:pPr>
      <w:r>
        <w:rPr>
          <w:rFonts w:hint="eastAsia"/>
          <w:b/>
          <w:bCs/>
          <w:sz w:val="24"/>
          <w:szCs w:val="24"/>
          <w:lang w:val="en-US" w:eastAsia="zh-CN"/>
        </w:rPr>
        <w:t xml:space="preserve"> </w:t>
      </w:r>
    </w:p>
    <w:p>
      <w:pPr>
        <w:jc w:val="center"/>
        <w:rPr>
          <w:rFonts w:hint="default"/>
          <w:b/>
          <w:bCs/>
          <w:sz w:val="24"/>
          <w:szCs w:val="24"/>
          <w:lang w:val="en-US" w:eastAsia="zh-CN"/>
        </w:rPr>
      </w:pPr>
      <w:r>
        <w:rPr>
          <w:rFonts w:hint="eastAsia" w:eastAsiaTheme="minorEastAsia"/>
          <w:b/>
          <w:bCs/>
          <w:sz w:val="24"/>
          <w:szCs w:val="24"/>
          <w:lang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5480050" cy="3018155"/>
            <wp:effectExtent l="0" t="0" r="6350" b="10795"/>
            <wp:wrapSquare wrapText="bothSides"/>
            <wp:docPr id="1" name="图片 1" descr="b7bff1e4176211ace9d921b974b0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bff1e4176211ace9d921b974b06a4"/>
                    <pic:cNvPicPr>
                      <a:picLocks noChangeAspect="1"/>
                    </pic:cNvPicPr>
                  </pic:nvPicPr>
                  <pic:blipFill>
                    <a:blip r:embed="rId4"/>
                    <a:srcRect l="2601" t="1244" r="1903" b="1755"/>
                    <a:stretch>
                      <a:fillRect/>
                    </a:stretch>
                  </pic:blipFill>
                  <pic:spPr>
                    <a:xfrm>
                      <a:off x="0" y="0"/>
                      <a:ext cx="5480050" cy="3018155"/>
                    </a:xfrm>
                    <a:prstGeom prst="rect">
                      <a:avLst/>
                    </a:prstGeom>
                  </pic:spPr>
                </pic:pic>
              </a:graphicData>
            </a:graphic>
          </wp:anchor>
        </w:drawing>
      </w:r>
      <w:r>
        <w:rPr>
          <w:rFonts w:hint="eastAsia"/>
          <w:b/>
          <w:bCs/>
          <w:sz w:val="24"/>
          <w:szCs w:val="24"/>
          <w:lang w:val="en-US" w:eastAsia="zh-CN"/>
        </w:rPr>
        <w:t>【全球瞩目】</w:t>
      </w:r>
    </w:p>
    <w:p>
      <w:pPr>
        <w:pStyle w:val="3"/>
        <w:bidi w:val="0"/>
        <w:rPr>
          <w:rFonts w:hint="default" w:ascii="黑体" w:hAnsi="黑体" w:eastAsia="黑体" w:cs="黑体"/>
          <w:sz w:val="24"/>
          <w:szCs w:val="24"/>
          <w:lang w:val="en-US" w:eastAsia="zh-CN"/>
        </w:rPr>
      </w:pPr>
      <w:r>
        <w:rPr>
          <w:rFonts w:hint="eastAsia" w:ascii="黑体" w:hAnsi="黑体" w:cs="黑体"/>
          <w:sz w:val="24"/>
          <w:szCs w:val="24"/>
          <w:lang w:val="en-US" w:eastAsia="zh-CN"/>
        </w:rPr>
        <w:t>多位退休院长书记被查</w:t>
      </w:r>
    </w:p>
    <w:p>
      <w:pPr>
        <w:ind w:firstLine="420" w:firstLineChars="200"/>
        <w:rPr>
          <w:rFonts w:hint="eastAsia" w:ascii="宋体" w:hAnsi="宋体" w:eastAsia="宋体" w:cs="宋体"/>
          <w:lang w:eastAsia="zh-CN"/>
        </w:rPr>
      </w:pPr>
      <w:r>
        <w:rPr>
          <w:rFonts w:hint="eastAsia" w:ascii="宋体" w:hAnsi="宋体" w:eastAsia="宋体" w:cs="宋体"/>
          <w:lang w:eastAsia="zh-CN"/>
        </w:rPr>
        <w:t>8月15日，国家卫生健康委表示，正在进行全国医药领域腐败问题的整治工作，特别关注关键岗位中的不法行为，如滥用权力、非法销售和利益输送。</w:t>
      </w:r>
    </w:p>
    <w:p>
      <w:pPr>
        <w:ind w:firstLine="420" w:firstLineChars="200"/>
        <w:rPr>
          <w:rFonts w:hint="eastAsia" w:ascii="宋体" w:hAnsi="宋体" w:eastAsia="宋体" w:cs="宋体"/>
          <w:lang w:eastAsia="zh-CN"/>
        </w:rPr>
      </w:pPr>
    </w:p>
    <w:p>
      <w:pPr>
        <w:ind w:firstLine="420" w:firstLineChars="200"/>
        <w:rPr>
          <w:rFonts w:hint="eastAsia" w:ascii="宋体" w:hAnsi="宋体" w:eastAsia="宋体" w:cs="宋体"/>
          <w:lang w:eastAsia="zh-CN"/>
        </w:rPr>
      </w:pPr>
      <w:r>
        <w:rPr>
          <w:rFonts w:hint="eastAsia" w:ascii="宋体" w:hAnsi="宋体" w:eastAsia="宋体" w:cs="宋体"/>
          <w:lang w:eastAsia="zh-CN"/>
        </w:rPr>
        <w:t>在此次整治中，多名已退休的医院院长受到查处，包括四川凉山州第一人民医院原党委书记曹力生、乐山市妇幼保健院原党委副书记院长许文惠、广东陆丰市人民医院原院长洪永洲、广东汕尾市人民医院原党委书记院长林少东、广东东莞市人民医院原院长、东莞市政协原副主席邝明子、广东清远市中医院原党委书记院长冯伟勋和揭阳市人民医院原党委书记院长翁建东。</w:t>
      </w:r>
    </w:p>
    <w:p>
      <w:pPr>
        <w:ind w:firstLine="420" w:firstLineChars="200"/>
        <w:rPr>
          <w:rFonts w:hint="eastAsia" w:ascii="宋体" w:hAnsi="宋体" w:eastAsia="宋体" w:cs="宋体"/>
          <w:lang w:eastAsia="zh-CN"/>
        </w:rPr>
      </w:pPr>
    </w:p>
    <w:p>
      <w:pPr>
        <w:ind w:firstLine="420" w:firstLineChars="200"/>
        <w:rPr>
          <w:rFonts w:hint="eastAsia" w:ascii="宋体" w:hAnsi="宋体" w:eastAsia="宋体" w:cs="宋体"/>
          <w:lang w:eastAsia="zh-CN"/>
        </w:rPr>
      </w:pPr>
      <w:r>
        <w:rPr>
          <w:rFonts w:hint="eastAsia" w:ascii="宋体" w:hAnsi="宋体" w:eastAsia="宋体" w:cs="宋体"/>
          <w:lang w:eastAsia="zh-CN"/>
        </w:rPr>
        <w:t>专家表示，不论是否退休，违法行为都必须追究，刑事责任的追究会影响退休人员的养老金待遇和经济收入。该举措旨在保障人民群众的健康权益，强调在法律面前人人平等，刑罚将依法进行。</w:t>
      </w:r>
    </w:p>
    <w:p>
      <w:pPr>
        <w:ind w:firstLine="420" w:firstLineChars="200"/>
        <w:rPr>
          <w:rFonts w:hint="eastAsia" w:ascii="宋体" w:hAnsi="宋体" w:eastAsia="宋体" w:cs="宋体"/>
          <w:lang w:eastAsia="zh-CN"/>
        </w:rPr>
      </w:pPr>
    </w:p>
    <w:p>
      <w:p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我国海洋生物多样性保护显效，珍惜物种频现</w:t>
      </w:r>
    </w:p>
    <w:p>
      <w:pPr>
        <w:rPr>
          <w:rFonts w:hint="eastAsia" w:ascii="黑体" w:hAnsi="黑体" w:eastAsia="黑体" w:cs="黑体"/>
          <w:b/>
          <w:bCs/>
          <w:sz w:val="24"/>
          <w:szCs w:val="24"/>
          <w:lang w:val="en-US" w:eastAsia="zh-CN"/>
        </w:rPr>
      </w:pPr>
    </w:p>
    <w:p>
      <w:pPr>
        <w:ind w:firstLine="420" w:firstLineChars="200"/>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通过加强海洋生态保护，我国海洋生态系统健康改善，珍稀海洋生物的种群及栖息地得到恢复，海洋生物多样性保护成效显著。</w:t>
      </w:r>
    </w:p>
    <w:p>
      <w:pPr>
        <w:ind w:firstLine="420" w:firstLineChars="200"/>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首只非澳毛皮海狮宝宝在三亚出生，得到全天候看护。近年来，我国通过保护措施，有302种野生水生动物列入国家保护名录。</w:t>
      </w:r>
    </w:p>
    <w:p>
      <w:pPr>
        <w:ind w:firstLine="420" w:firstLineChars="200"/>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海南省水生野生动物救护站积极救助海龟，并通过环保意识提升减少人为干扰。同时，科技力量助力海龟保护，红外相机与AI识别技术实现无干扰监测。</w:t>
      </w:r>
    </w:p>
    <w:p>
      <w:pPr>
        <w:ind w:firstLine="420" w:firstLineChars="200"/>
        <w:rPr>
          <w:rFonts w:hint="eastAsia" w:ascii="宋体" w:hAnsi="宋体" w:eastAsia="宋体" w:cs="宋体"/>
          <w:i w:val="0"/>
          <w:iCs w:val="0"/>
          <w:caps w:val="0"/>
          <w:color w:val="535C86"/>
          <w:spacing w:val="0"/>
          <w:sz w:val="21"/>
          <w:szCs w:val="21"/>
          <w:shd w:val="clear" w:color="auto" w:fill="auto"/>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我国海洋生态环境质量的改善创造了良好的栖息环境，促使珍稀濒危物种频繁现身。生物多样性保护取得实质性提升，为全球海洋生态系统保护提供实践经验，助力美丽中国建设。</w:t>
      </w:r>
    </w:p>
    <w:p>
      <w:pPr>
        <w:ind w:firstLine="420" w:firstLineChars="200"/>
        <w:rPr>
          <w:rFonts w:hint="eastAsia" w:ascii="宋体" w:hAnsi="宋体" w:eastAsia="宋体" w:cs="宋体"/>
          <w:i w:val="0"/>
          <w:iCs w:val="0"/>
          <w:caps w:val="0"/>
          <w:color w:val="535C86"/>
          <w:spacing w:val="0"/>
          <w:sz w:val="21"/>
          <w:szCs w:val="21"/>
          <w:shd w:val="clear" w:color="auto" w:fill="auto"/>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莫斯科国际安全会议探讨多极世界安全</w:t>
      </w:r>
    </w:p>
    <w:p>
      <w:pPr>
        <w:rPr>
          <w:rFonts w:hint="eastAsia" w:ascii="黑体" w:hAnsi="黑体" w:eastAsia="黑体" w:cs="黑体"/>
          <w:b/>
          <w:bCs/>
          <w:sz w:val="24"/>
          <w:szCs w:val="24"/>
          <w:lang w:val="en-US" w:eastAsia="zh-CN"/>
        </w:rPr>
      </w:pP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十一届莫斯科国际安全会议在俄罗斯举行，聚焦“多极世界中的全球安全现实”。与会代表讨论了各地区的安全问题，强调多极世界秩序的重要性。俄总统普京强调多极世界的形成，呼吁国际社会合作减少对抗，增强信任，俄国防部强调将加强合作，建立多极世界的“独立力量中心”。会议由俄国防部主办，800多名代表出席。</w:t>
      </w:r>
    </w:p>
    <w:p>
      <w:pPr>
        <w:ind w:firstLine="420" w:firstLineChars="200"/>
        <w:rPr>
          <w:rFonts w:hint="eastAsia" w:ascii="宋体" w:hAnsi="宋体" w:eastAsia="宋体" w:cs="宋体"/>
          <w:i w:val="0"/>
          <w:iCs w:val="0"/>
          <w:caps w:val="0"/>
          <w:color w:val="535C86"/>
          <w:spacing w:val="0"/>
          <w:sz w:val="21"/>
          <w:szCs w:val="21"/>
          <w:shd w:val="clear" w:fill="ECF7FE"/>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【魏氏独家】</w:t>
      </w:r>
    </w:p>
    <w:p>
      <w:pPr>
        <w:jc w:val="both"/>
        <w:rPr>
          <w:rFonts w:hint="eastAsia" w:ascii="黑体" w:hAnsi="黑体" w:eastAsia="黑体" w:cs="黑体"/>
          <w:b/>
          <w:bCs/>
          <w:sz w:val="24"/>
          <w:szCs w:val="24"/>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N-乙酰基-L-半胱氨酸（NAC）是一种具有生物活性的氨基酸，具有多种药理和生物化学作用。近年来，NAC在制药、化妆品和食品等领域的应用不断扩大，市场需求持续增长。本文将对NAC原料的行情进行分析。</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一、市场概况</w:t>
      </w:r>
    </w:p>
    <w:p>
      <w:pPr>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NAC原料的市场规模相对较小，但近年来呈现出快速增长的趋势。全球市场价格较为稳定，保持在较高的水平。根据市场调查数据显示，2021年全球NAC市场规模约为1.2亿美元，预计到2028年将增长至2.5亿美元，年复合增长率达到10.5%。</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二、供应情况</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NAC的生产原料主要包括L-半胱氨酸、乙酰基等。目前，全球NAC原料的生产主要集中在日本、美国等发达国家，其中日本几家大型制药企业的产量占全球总产量的70%以上。中国的NAC原料生产厂家较少，产量较低，市场供应相对紧张。</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三、竞争情况</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NAC原料市场上，主要的生产厂家包括日本的住友化学、美国的Sigma-Aldrich、德国的Merck等。这些企业拥有较强的技术实力和品牌影响力，产品品质较高，市场份额较大。此外，还有一些规模较小的中国企业从事NAC原料的生产，但市场份额较小。</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四、市场趋势</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着NAC在各个领域的应用不断拓展，NAC原料的市场需求将会持续增长。同时，随着技术的进步和生产成本的降低，NAC原料的价格也将逐步降低，这将进一步推动NAC的应用和市场发展。此外，随着环保要求的提高和可持续发展理念的深入人心，NAC原料的环保生产和绿色发展也将成为未来的趋势。</w:t>
      </w:r>
    </w:p>
    <w:p>
      <w:pPr>
        <w:ind w:firstLine="420" w:firstLineChars="200"/>
        <w:jc w:val="both"/>
        <w:rPr>
          <w:rFonts w:hint="eastAsia" w:ascii="宋体" w:hAnsi="宋体" w:eastAsia="宋体" w:cs="宋体"/>
          <w:b w:val="0"/>
          <w:bCs w:val="0"/>
          <w:sz w:val="21"/>
          <w:szCs w:val="21"/>
          <w:lang w:val="en-US" w:eastAsia="zh-CN"/>
        </w:rPr>
      </w:pP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综上所述，NAC原料市场具有较好的发展前景，但同时也面临着生产技术、环保要求等方面的挑战。未来，随着技术的进步和市场需求的增长，NAC原料的生产将更加环保、高效，市场也将更加稳定和繁荣。</w:t>
      </w:r>
    </w:p>
    <w:p>
      <w:pPr>
        <w:jc w:val="both"/>
        <w:rPr>
          <w:rFonts w:hint="eastAsia" w:ascii="宋体" w:hAnsi="宋体" w:eastAsia="宋体" w:cs="宋体"/>
          <w:b w:val="0"/>
          <w:bCs w:val="0"/>
          <w:sz w:val="21"/>
          <w:szCs w:val="21"/>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167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名称</w:t>
            </w:r>
          </w:p>
        </w:tc>
        <w:tc>
          <w:tcPr>
            <w:tcW w:w="1676"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cas号</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纯度</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4"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N-乙酰半胱氨酸</w:t>
            </w:r>
          </w:p>
        </w:tc>
        <w:tc>
          <w:tcPr>
            <w:tcW w:w="1676"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616-91-1</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98.5%-101%</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84" w:type="dxa"/>
          </w:tcPr>
          <w:p>
            <w:pPr>
              <w:rPr>
                <w:rFonts w:hint="default" w:ascii="宋体" w:hAnsi="宋体" w:eastAsia="宋体" w:cs="宋体"/>
                <w:b w:val="0"/>
                <w:bCs w:val="0"/>
                <w:sz w:val="21"/>
                <w:szCs w:val="21"/>
                <w:vertAlign w:val="baseline"/>
                <w:lang w:val="en-US" w:eastAsia="zh-CN"/>
              </w:rPr>
            </w:pPr>
            <w:r>
              <w:rPr>
                <w:rFonts w:ascii="Arial" w:hAnsi="Arial" w:eastAsia="宋体" w:cs="Arial"/>
                <w:i w:val="0"/>
                <w:iCs w:val="0"/>
                <w:caps w:val="0"/>
                <w:color w:val="333333"/>
                <w:spacing w:val="0"/>
                <w:sz w:val="21"/>
                <w:szCs w:val="21"/>
                <w:shd w:val="clear" w:fill="FFFFFF"/>
              </w:rPr>
              <w:t>S-磺基-L-半胱氨酸钠盐</w:t>
            </w:r>
          </w:p>
        </w:tc>
        <w:tc>
          <w:tcPr>
            <w:tcW w:w="1676"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150465-29-5</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98%</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hint="eastAsia" w:ascii="宋体" w:hAnsi="宋体" w:eastAsia="宋体" w:cs="宋体"/>
                <w:b w:val="0"/>
                <w:bCs w:val="0"/>
                <w:sz w:val="21"/>
                <w:szCs w:val="21"/>
                <w:vertAlign w:val="baseline"/>
                <w:lang w:val="en-US" w:eastAsia="zh-CN"/>
              </w:rPr>
            </w:pPr>
            <w:r>
              <w:rPr>
                <w:rFonts w:ascii="Arial" w:hAnsi="Arial" w:eastAsia="宋体" w:cs="Arial"/>
                <w:i w:val="0"/>
                <w:iCs w:val="0"/>
                <w:caps w:val="0"/>
                <w:color w:val="333333"/>
                <w:spacing w:val="0"/>
                <w:sz w:val="21"/>
                <w:szCs w:val="21"/>
                <w:shd w:val="clear" w:fill="FFFFFF"/>
              </w:rPr>
              <w:t>DL-半胱氨酸盐酸盐</w:t>
            </w:r>
          </w:p>
        </w:tc>
        <w:tc>
          <w:tcPr>
            <w:tcW w:w="1676"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10318-18-0</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98%</w:t>
            </w:r>
          </w:p>
        </w:tc>
        <w:tc>
          <w:tcPr>
            <w:tcW w:w="2131" w:type="dxa"/>
          </w:tcPr>
          <w:p>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有</w:t>
            </w:r>
          </w:p>
        </w:tc>
      </w:tr>
    </w:tbl>
    <w:p>
      <w:pPr>
        <w:rPr>
          <w:rFonts w:hint="eastAsia" w:ascii="宋体" w:hAnsi="宋体" w:eastAsia="宋体" w:cs="宋体"/>
          <w:b w:val="0"/>
          <w:bCs w:val="0"/>
          <w:sz w:val="21"/>
          <w:szCs w:val="21"/>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【行业前沿】</w:t>
      </w:r>
    </w:p>
    <w:p>
      <w:pPr>
        <w:rPr>
          <w:rFonts w:hint="eastAsia" w:ascii="宋体" w:hAnsi="宋体" w:eastAsia="宋体" w:cs="宋体"/>
          <w:b w:val="0"/>
          <w:bCs w:val="0"/>
          <w:sz w:val="21"/>
          <w:szCs w:val="21"/>
          <w:lang w:val="en-US" w:eastAsia="zh-CN"/>
        </w:rPr>
      </w:pPr>
    </w:p>
    <w:p>
      <w:p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尔康制药为长沙打造全球研发中心贡献力量</w:t>
      </w:r>
    </w:p>
    <w:p>
      <w:pPr>
        <w:rPr>
          <w:rFonts w:hint="default" w:ascii="黑体" w:hAnsi="黑体" w:eastAsia="黑体" w:cs="黑体"/>
          <w:b/>
          <w:bCs/>
          <w:sz w:val="24"/>
          <w:szCs w:val="24"/>
          <w:lang w:val="en-US" w:eastAsia="zh-CN"/>
        </w:rPr>
      </w:pPr>
    </w:p>
    <w:p>
      <w:pPr>
        <w:ind w:firstLine="420" w:firstLineChars="200"/>
        <w:rPr>
          <w:rFonts w:hint="eastAsia" w:ascii="宋体" w:hAnsi="宋体" w:eastAsia="宋体" w:cs="宋体"/>
        </w:rPr>
      </w:pPr>
      <w:r>
        <w:rPr>
          <w:rFonts w:hint="eastAsia" w:ascii="宋体" w:hAnsi="宋体" w:eastAsia="宋体" w:cs="宋体"/>
        </w:rPr>
        <w:t>近日，国家发改委等部门发布《促进民营经济发展举措通知》共28条，支持民营企业。新政策鼓励民企参与重要科技攻关，提升供应链能力。民企或领导攻关任务，推动产业发展。</w:t>
      </w:r>
    </w:p>
    <w:p>
      <w:pPr>
        <w:ind w:firstLine="420" w:firstLineChars="200"/>
        <w:rPr>
          <w:rFonts w:hint="eastAsia" w:ascii="宋体" w:hAnsi="宋体" w:eastAsia="宋体" w:cs="宋体"/>
        </w:rPr>
      </w:pPr>
      <w:r>
        <w:rPr>
          <w:rFonts w:hint="eastAsia" w:ascii="宋体" w:hAnsi="宋体" w:eastAsia="宋体" w:cs="宋体"/>
        </w:rPr>
        <w:t>石油冶炼业中，民企在产业链供应链中发挥关键作用，如催化剂的重要性。西陇科学在环保安全生产下，确保高质量产品，成为石化供应商之一。新政策有助于其提供定制服务，扩展高端试剂研发。</w:t>
      </w:r>
    </w:p>
    <w:p>
      <w:pPr>
        <w:ind w:firstLine="420" w:firstLineChars="200"/>
        <w:rPr>
          <w:rFonts w:hint="eastAsia" w:ascii="宋体" w:hAnsi="宋体" w:eastAsia="宋体" w:cs="宋体"/>
        </w:rPr>
      </w:pPr>
      <w:r>
        <w:rPr>
          <w:rFonts w:hint="eastAsia" w:ascii="宋体" w:hAnsi="宋体" w:eastAsia="宋体" w:cs="宋体"/>
        </w:rPr>
        <w:t>半导体行业发展，湿电子化学品需求增加，化学试剂企业改造生产线以满足需求。西陇科学的高纯试剂已稳定供应，半导体领域国产替代空间大。</w:t>
      </w:r>
    </w:p>
    <w:p>
      <w:pPr>
        <w:ind w:firstLine="420" w:firstLineChars="200"/>
        <w:rPr>
          <w:rFonts w:hint="eastAsia" w:ascii="宋体" w:hAnsi="宋体" w:eastAsia="宋体" w:cs="宋体"/>
        </w:rPr>
      </w:pPr>
      <w:r>
        <w:rPr>
          <w:rFonts w:hint="eastAsia" w:ascii="宋体" w:hAnsi="宋体" w:eastAsia="宋体" w:cs="宋体"/>
        </w:rPr>
        <w:t>20年前，我国高端化学品依赖进口，但现在本土试剂厂商凭借技术攻坚、价格优势，逐步打破进口垄断。国产产品价格较低，如西陇科学的自主研发产品可节省成本。</w:t>
      </w:r>
    </w:p>
    <w:p>
      <w:pPr>
        <w:ind w:firstLine="420" w:firstLineChars="200"/>
        <w:rPr>
          <w:rFonts w:hint="eastAsia" w:ascii="宋体" w:hAnsi="宋体" w:eastAsia="宋体" w:cs="宋体"/>
        </w:rPr>
      </w:pPr>
      <w:r>
        <w:rPr>
          <w:rFonts w:hint="eastAsia" w:ascii="宋体" w:hAnsi="宋体" w:eastAsia="宋体" w:cs="宋体"/>
        </w:rPr>
        <w:t>西陇科学布局光伏、新能源领域，产品应用于光伏电池材料、核电等，助力产业发展。</w:t>
      </w:r>
    </w:p>
    <w:p>
      <w:pPr>
        <w:ind w:firstLine="420" w:firstLineChars="200"/>
        <w:rPr>
          <w:rFonts w:hint="eastAsia" w:ascii="宋体" w:hAnsi="宋体" w:eastAsia="宋体" w:cs="宋体"/>
        </w:rPr>
      </w:pPr>
      <w:r>
        <w:rPr>
          <w:rFonts w:hint="eastAsia" w:ascii="宋体" w:hAnsi="宋体" w:eastAsia="宋体" w:cs="宋体"/>
        </w:rPr>
        <w:t>国家政策支持下，本土供应链受重视。国产试剂厂商应聚焦重点领域，推动产业链升级，释放科技创新活力。</w:t>
      </w:r>
    </w:p>
    <w:p>
      <w:pPr>
        <w:ind w:firstLine="480" w:firstLineChars="200"/>
        <w:jc w:val="center"/>
        <w:rPr>
          <w:rFonts w:hint="eastAsia" w:ascii="宋体" w:hAnsi="宋体" w:eastAsia="宋体" w:cs="宋体"/>
          <w:b w:val="0"/>
          <w:bCs w:val="0"/>
          <w:sz w:val="24"/>
          <w:szCs w:val="24"/>
          <w:lang w:val="en-US" w:eastAsia="zh-CN"/>
        </w:rPr>
      </w:pPr>
    </w:p>
    <w:p>
      <w:pPr>
        <w:ind w:firstLine="480" w:firstLineChars="200"/>
        <w:rPr>
          <w:rFonts w:hint="eastAsia" w:ascii="宋体" w:hAnsi="宋体" w:eastAsia="宋体" w:cs="宋体"/>
          <w:b w:val="0"/>
          <w:bCs w:val="0"/>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【医药速递】</w:t>
      </w:r>
    </w:p>
    <w:p>
      <w:pPr>
        <w:jc w:val="center"/>
        <w:rPr>
          <w:rFonts w:hint="eastAsia" w:ascii="宋体" w:hAnsi="宋体" w:eastAsia="宋体" w:cs="宋体"/>
          <w:b/>
          <w:bCs/>
          <w:sz w:val="24"/>
          <w:szCs w:val="24"/>
          <w:lang w:val="en-US" w:eastAsia="zh-CN"/>
        </w:rPr>
      </w:pPr>
    </w:p>
    <w:p>
      <w:p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吸入剂市场波动top10出炉</w:t>
      </w:r>
    </w:p>
    <w:p>
      <w:pPr>
        <w:rPr>
          <w:rFonts w:hint="default" w:ascii="黑体" w:hAnsi="黑体" w:eastAsia="黑体" w:cs="黑体"/>
          <w:b w:val="0"/>
          <w:bCs w:val="0"/>
          <w:sz w:val="24"/>
          <w:szCs w:val="24"/>
          <w:lang w:val="en-US" w:eastAsia="zh-CN"/>
        </w:rPr>
      </w:pPr>
    </w:p>
    <w:p>
      <w:pPr>
        <w:rPr>
          <w:rFonts w:hint="default" w:ascii="黑体" w:hAnsi="黑体" w:eastAsia="黑体" w:cs="黑体"/>
          <w:b w:val="0"/>
          <w:bCs w:val="0"/>
          <w:sz w:val="21"/>
          <w:szCs w:val="21"/>
          <w:lang w:val="en-US" w:eastAsia="zh-CN"/>
        </w:rPr>
      </w:pPr>
    </w:p>
    <w:p>
      <w:pPr>
        <w:ind w:firstLine="420" w:firstLineChars="200"/>
        <w:rPr>
          <w:rFonts w:hint="eastAsia"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drawing>
          <wp:anchor distT="0" distB="0" distL="114300" distR="114300" simplePos="0" relativeHeight="251661312" behindDoc="0" locked="0" layoutInCell="1" allowOverlap="1">
            <wp:simplePos x="0" y="0"/>
            <wp:positionH relativeFrom="column">
              <wp:posOffset>86995</wp:posOffset>
            </wp:positionH>
            <wp:positionV relativeFrom="paragraph">
              <wp:posOffset>1029335</wp:posOffset>
            </wp:positionV>
            <wp:extent cx="5088890" cy="2393315"/>
            <wp:effectExtent l="0" t="0" r="16510" b="6985"/>
            <wp:wrapSquare wrapText="bothSides"/>
            <wp:docPr id="7" name="图片 7" descr="2023081509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30815093838"/>
                    <pic:cNvPicPr>
                      <a:picLocks noChangeAspect="1"/>
                    </pic:cNvPicPr>
                  </pic:nvPicPr>
                  <pic:blipFill>
                    <a:blip r:embed="rId5"/>
                    <a:stretch>
                      <a:fillRect/>
                    </a:stretch>
                  </pic:blipFill>
                  <pic:spPr>
                    <a:xfrm>
                      <a:off x="0" y="0"/>
                      <a:ext cx="5088890" cy="2393315"/>
                    </a:xfrm>
                    <a:prstGeom prst="rect">
                      <a:avLst/>
                    </a:prstGeom>
                  </pic:spPr>
                </pic:pic>
              </a:graphicData>
            </a:graphic>
          </wp:anchor>
        </w:drawing>
      </w:r>
      <w:r>
        <w:rPr>
          <w:rFonts w:hint="eastAsia" w:ascii="宋体" w:hAnsi="宋体" w:eastAsia="宋体" w:cs="宋体"/>
          <w:b w:val="0"/>
          <w:bCs w:val="0"/>
          <w:sz w:val="21"/>
          <w:szCs w:val="21"/>
          <w:lang w:val="en-US" w:eastAsia="zh-CN"/>
        </w:rPr>
        <w:t>国内吸入剂市场近年波动，新药涌现影响销售格局。2023年一季度，公立医院吸入剂市场回升，特布他林暴跌66%。今年已有26款国产吸入剂获批，3款备战第九批国采。新药研发热火朝天，化药、中药品牌展开竞争，未来前景可期。TOP10品种变动明显，左沙丁胺醇、布地格福大涨90%。畅销品种特布他林降幅超66%，被纳入第七批国采。销售规模逐步回升，市场格局因新品、药企竞争而变。</w:t>
      </w:r>
    </w:p>
    <w:p>
      <w:pPr>
        <w:ind w:firstLine="420" w:firstLineChars="200"/>
        <w:rPr>
          <w:rFonts w:hint="eastAsia" w:ascii="宋体" w:hAnsi="宋体" w:eastAsia="宋体" w:cs="宋体"/>
          <w:b w:val="0"/>
          <w:bCs w:val="0"/>
          <w:sz w:val="21"/>
          <w:szCs w:val="21"/>
          <w:lang w:val="en-US" w:eastAsia="zh-CN"/>
        </w:rPr>
      </w:pPr>
    </w:p>
    <w:p>
      <w:pPr>
        <w:ind w:firstLine="420" w:firstLineChars="200"/>
        <w:rPr>
          <w:rFonts w:hint="eastAsia" w:ascii="宋体" w:hAnsi="宋体" w:eastAsia="宋体" w:cs="宋体"/>
          <w:b w:val="0"/>
          <w:bCs w:val="0"/>
          <w:sz w:val="21"/>
          <w:szCs w:val="21"/>
          <w:lang w:val="en-US" w:eastAsia="zh-CN"/>
        </w:rPr>
      </w:pPr>
    </w:p>
    <w:p>
      <w:pPr>
        <w:ind w:firstLine="420" w:firstLineChars="200"/>
        <w:rPr>
          <w:rFonts w:hint="eastAsia" w:ascii="宋体" w:hAnsi="宋体" w:eastAsia="宋体" w:cs="宋体"/>
          <w:b w:val="0"/>
          <w:bCs w:val="0"/>
          <w:sz w:val="21"/>
          <w:szCs w:val="21"/>
          <w:lang w:val="en-US" w:eastAsia="zh-CN"/>
        </w:rPr>
      </w:pPr>
    </w:p>
    <w:p>
      <w:pPr>
        <w:rPr>
          <w:rFonts w:hint="eastAsia" w:ascii="黑体" w:hAnsi="黑体" w:eastAsia="黑体" w:cs="黑体"/>
          <w:b w:val="0"/>
          <w:bCs w:val="0"/>
          <w:sz w:val="21"/>
          <w:szCs w:val="21"/>
          <w:lang w:val="en-US" w:eastAsia="zh-CN"/>
        </w:rPr>
      </w:pPr>
    </w:p>
    <w:p>
      <w:pPr>
        <w:rPr>
          <w:rFonts w:hint="eastAsia" w:ascii="黑体" w:hAnsi="黑体" w:eastAsia="黑体" w:cs="黑体"/>
          <w:b w:val="0"/>
          <w:bCs w:val="0"/>
          <w:sz w:val="21"/>
          <w:szCs w:val="21"/>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【魏氏试剂】</w:t>
      </w:r>
    </w:p>
    <w:p>
      <w:pPr>
        <w:rPr>
          <w:rFonts w:hint="eastAsia" w:ascii="黑体" w:hAnsi="黑体" w:eastAsia="黑体" w:cs="黑体"/>
          <w:b w:val="0"/>
          <w:bCs w:val="0"/>
          <w:sz w:val="24"/>
          <w:szCs w:val="24"/>
          <w:lang w:val="en-US" w:eastAsia="zh-CN"/>
        </w:rPr>
      </w:pP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湖北魏氏化学试剂股份有限公司位于湖北武汉市东湖高新技术开发区，是一家专业从事科研分析试剂、生物缓冲剂、氨基酸衍生物、糖酸多糖类化合物、精细化学品、农用化学品、日用化学品和生物催化酶等高新技术产品研究、开发、生产和出口销售融于一体的高科技现代化民营企业。</w:t>
      </w:r>
    </w:p>
    <w:p>
      <w:pPr>
        <w:ind w:firstLine="420" w:firstLineChars="200"/>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-16510</wp:posOffset>
            </wp:positionH>
            <wp:positionV relativeFrom="page">
              <wp:posOffset>3135630</wp:posOffset>
            </wp:positionV>
            <wp:extent cx="5265420" cy="2914015"/>
            <wp:effectExtent l="0" t="0" r="11430" b="635"/>
            <wp:wrapTopAndBottom/>
            <wp:docPr id="2" name="图片 1" descr="169137785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91377852049"/>
                    <pic:cNvPicPr>
                      <a:picLocks noChangeAspect="1"/>
                    </pic:cNvPicPr>
                  </pic:nvPicPr>
                  <pic:blipFill>
                    <a:blip r:embed="rId6"/>
                    <a:stretch>
                      <a:fillRect/>
                    </a:stretch>
                  </pic:blipFill>
                  <pic:spPr>
                    <a:xfrm>
                      <a:off x="0" y="0"/>
                      <a:ext cx="5265420" cy="2914015"/>
                    </a:xfrm>
                    <a:prstGeom prst="rect">
                      <a:avLst/>
                    </a:prstGeom>
                    <a:noFill/>
                    <a:ln>
                      <a:noFill/>
                    </a:ln>
                  </pic:spPr>
                </pic:pic>
              </a:graphicData>
            </a:graphic>
          </wp:anchor>
        </w:drawing>
      </w:r>
      <w:bookmarkStart w:id="0" w:name="_GoBack"/>
      <w:bookmarkEnd w:id="0"/>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ind w:firstLine="591"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WY3NjA1OTM0MzljOGZiMWE1MzlmN2VhNTIzYjkifQ=="/>
  </w:docVars>
  <w:rsids>
    <w:rsidRoot w:val="369E44A7"/>
    <w:rsid w:val="052E0372"/>
    <w:rsid w:val="091A7EC0"/>
    <w:rsid w:val="0BD93251"/>
    <w:rsid w:val="10A775D3"/>
    <w:rsid w:val="116554E6"/>
    <w:rsid w:val="15911D32"/>
    <w:rsid w:val="16FA41E7"/>
    <w:rsid w:val="17D64F6F"/>
    <w:rsid w:val="19715A86"/>
    <w:rsid w:val="1A6617EE"/>
    <w:rsid w:val="1AF916A0"/>
    <w:rsid w:val="1B291859"/>
    <w:rsid w:val="1BB14C8F"/>
    <w:rsid w:val="1FD955FC"/>
    <w:rsid w:val="206F7D0E"/>
    <w:rsid w:val="23425BAE"/>
    <w:rsid w:val="28F60FCD"/>
    <w:rsid w:val="296E0121"/>
    <w:rsid w:val="2D3E5C15"/>
    <w:rsid w:val="34753130"/>
    <w:rsid w:val="347F60F0"/>
    <w:rsid w:val="369E44A7"/>
    <w:rsid w:val="38174ABC"/>
    <w:rsid w:val="38C12528"/>
    <w:rsid w:val="398E1F2E"/>
    <w:rsid w:val="3B0D7AE2"/>
    <w:rsid w:val="3C6321D8"/>
    <w:rsid w:val="3D6A38DF"/>
    <w:rsid w:val="3FA532F5"/>
    <w:rsid w:val="467613D5"/>
    <w:rsid w:val="46794B93"/>
    <w:rsid w:val="48C66F74"/>
    <w:rsid w:val="4B4038B2"/>
    <w:rsid w:val="4BE40D01"/>
    <w:rsid w:val="4EAA38C9"/>
    <w:rsid w:val="4F3F4BCC"/>
    <w:rsid w:val="506D7517"/>
    <w:rsid w:val="548063E0"/>
    <w:rsid w:val="54987160"/>
    <w:rsid w:val="5B900C4B"/>
    <w:rsid w:val="5CCF30A6"/>
    <w:rsid w:val="5D0B433F"/>
    <w:rsid w:val="5E3C6A24"/>
    <w:rsid w:val="63ED3D4B"/>
    <w:rsid w:val="64AB30CB"/>
    <w:rsid w:val="68F367BD"/>
    <w:rsid w:val="69AC601C"/>
    <w:rsid w:val="6F896256"/>
    <w:rsid w:val="70D016D0"/>
    <w:rsid w:val="7F05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2654</Words>
  <Characters>2902</Characters>
  <Lines>0</Lines>
  <Paragraphs>0</Paragraphs>
  <TotalTime>1</TotalTime>
  <ScaleCrop>false</ScaleCrop>
  <LinksUpToDate>false</LinksUpToDate>
  <CharactersWithSpaces>2934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2023-08-09T02:15:00Z</dcterms:created>
  <dc:creator>28538</dc:creator>
  <cp:lastModifiedBy>微茫</cp:lastModifiedBy>
  <dcterms:modified xsi:type="dcterms:W3CDTF">2023-08-17T02:18:04Z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A66E013B94224DB992B48B0427DD493E_13</vt:lpwstr>
  </property>
</Properties>
</file>